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2.xml" ContentType="application/vnd.openxmlformats-officedocument.wordprocessingml.header+xml"/>
  <Override PartName="/word/media/image1.jpeg" ContentType="image/jpeg"/>
  <Override PartName="/word/media/image2.tif" ContentType="image/tiff"/>
  <Override PartName="/word/media/image3.tif" ContentType="image/tiff"/>
  <Override PartName="/word/media/image4.tif" ContentType="image/tiff"/>
  <Override PartName="/word/media/image5.tif" ContentType="image/tiff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b/>
          <w:b/>
          <w:sz w:val="48"/>
          <w:szCs w:val="48"/>
          <w:highlight w:val="yellow"/>
        </w:rPr>
      </w:pPr>
      <w:r>
        <w:rPr>
          <w:b/>
          <w:sz w:val="48"/>
          <w:szCs w:val="48"/>
          <w:highlight w:val="yellow"/>
        </w:rPr>
      </w:r>
    </w:p>
    <w:p>
      <w:pPr>
        <w:pStyle w:val="Normal"/>
        <w:jc w:val="center"/>
        <w:rPr>
          <w:b/>
          <w:b/>
          <w:sz w:val="48"/>
          <w:szCs w:val="48"/>
        </w:rPr>
      </w:pPr>
      <w:r>
        <w:rPr>
          <w:rFonts w:eastAsia="Calibri" w:cs="" w:cstheme="minorBidi" w:eastAsiaTheme="minorHAnsi"/>
          <w:b/>
          <w:sz w:val="48"/>
          <w:szCs w:val="48"/>
        </w:rPr>
        <w:t>Dokumentace skutečného provedení stavby</w:t>
      </w:r>
    </w:p>
    <w:p>
      <w:pPr>
        <w:pStyle w:val="Normal"/>
        <w:jc w:val="center"/>
        <w:rPr>
          <w:b/>
          <w:b/>
          <w:sz w:val="48"/>
          <w:szCs w:val="48"/>
          <w:highlight w:val="yellow"/>
        </w:rPr>
      </w:pPr>
      <w:r>
        <w:rPr>
          <w:b/>
          <w:sz w:val="48"/>
          <w:szCs w:val="48"/>
          <w:highlight w:val="yellow"/>
        </w:rPr>
      </w:r>
    </w:p>
    <w:p>
      <w:pPr>
        <w:pStyle w:val="Normal"/>
        <w:jc w:val="center"/>
        <w:rPr>
          <w:b/>
          <w:b/>
          <w:sz w:val="48"/>
          <w:szCs w:val="48"/>
        </w:rPr>
      </w:pPr>
      <w:r>
        <w:rPr/>
        <w:drawing>
          <wp:inline distT="0" distB="0" distL="0" distR="0">
            <wp:extent cx="5760720" cy="3827780"/>
            <wp:effectExtent l="0" t="0" r="0" b="0"/>
            <wp:docPr id="1" name="Obrázek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4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b/>
          <w:b/>
          <w:sz w:val="48"/>
          <w:szCs w:val="48"/>
          <w:highlight w:val="yellow"/>
        </w:rPr>
      </w:pPr>
      <w:r>
        <w:rPr>
          <w:b/>
          <w:sz w:val="48"/>
          <w:szCs w:val="48"/>
          <w:highlight w:val="yellow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  <w:sz w:val="48"/>
          <w:szCs w:val="48"/>
        </w:rPr>
        <w:t>Revitalizace lokality Březová Lada</w:t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  <w:sz w:val="40"/>
          <w:szCs w:val="40"/>
        </w:rPr>
        <w:t>(k.ú. Slatina u Horní Vltavice)</w:t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  <w:b/>
          <w:b/>
          <w:sz w:val="40"/>
          <w:szCs w:val="40"/>
        </w:rPr>
      </w:pPr>
      <w:r>
        <w:rPr>
          <w:rFonts w:eastAsia="Calibri" w:cs="" w:cstheme="minorBidi" w:eastAsiaTheme="minorHAnsi"/>
          <w:b/>
          <w:sz w:val="40"/>
          <w:szCs w:val="40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  <w:b/>
          <w:b/>
          <w:sz w:val="40"/>
          <w:szCs w:val="40"/>
        </w:rPr>
      </w:pPr>
      <w:r>
        <w:rPr>
          <w:rFonts w:eastAsia="Calibri" w:cs="" w:cstheme="minorBidi" w:eastAsiaTheme="minorHAnsi"/>
          <w:b/>
          <w:sz w:val="40"/>
          <w:szCs w:val="40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  <w:b/>
          <w:b/>
          <w:sz w:val="28"/>
          <w:szCs w:val="28"/>
        </w:rPr>
      </w:pPr>
      <w:r>
        <w:rPr>
          <w:rFonts w:eastAsia="Calibri" w:cs="" w:cstheme="minorBidi" w:eastAsiaTheme="minorHAnsi"/>
          <w:b/>
          <w:sz w:val="28"/>
          <w:szCs w:val="28"/>
        </w:rPr>
      </w:r>
    </w:p>
    <w:p>
      <w:pPr>
        <w:pStyle w:val="Normal"/>
        <w:jc w:val="center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  <w:b/>
          <w:sz w:val="28"/>
          <w:szCs w:val="28"/>
        </w:rPr>
        <w:t>Prosinec 2023</w:t>
      </w:r>
    </w:p>
    <w:p>
      <w:pPr>
        <w:pStyle w:val="Normal"/>
        <w:rPr>
          <w:b/>
          <w:b/>
        </w:rPr>
      </w:pPr>
      <w:r>
        <w:rPr>
          <w:rFonts w:eastAsia="Calibri" w:cs="" w:cstheme="minorBidi" w:eastAsiaTheme="minorHAnsi"/>
          <w:b/>
        </w:rPr>
        <w:t>Základní údaje: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 xml:space="preserve">Stavba byla realizována v rámci projektu LIFE17 NAT/CZ/000452 LIFE for MIRES „Život pro mokřady“. Cílem je obnova přirozeného vodního režimu, zvýšení retence vody v krajině a zlepšení stavu mokřadních biotopů na lokalitě v minulosti poškozené odvodněním systémem povrchových kanálů. Realizovaná opatření přispěla ke zvýšení hladiny podzemní vody, zpomalení povrchového odtoku druhotnou drenážní sítí a zastavení rýhové eroze. Došlo k dílčí obnově přírodního charakteru drobných potoků. </w:t>
      </w:r>
    </w:p>
    <w:p>
      <w:pPr>
        <w:pStyle w:val="Normal"/>
        <w:rPr/>
      </w:pPr>
      <w:r>
        <w:rPr>
          <w:rFonts w:eastAsia="Calibri" w:cs="" w:cstheme="minorBidi" w:eastAsiaTheme="minorHAnsi"/>
          <w:b/>
        </w:rPr>
        <w:t xml:space="preserve">Název stavby: </w:t>
        <w:tab/>
        <w:tab/>
      </w:r>
      <w:r>
        <w:rPr>
          <w:rFonts w:eastAsia="Calibri" w:cs="" w:cstheme="minorBidi" w:eastAsiaTheme="minorHAnsi"/>
        </w:rPr>
        <w:t>Revitalizace lokality Březová Lada</w:t>
      </w:r>
    </w:p>
    <w:p>
      <w:pPr>
        <w:pStyle w:val="Normal"/>
        <w:rPr/>
      </w:pPr>
      <w:r>
        <w:rPr>
          <w:rFonts w:eastAsia="Calibri" w:cs="" w:cstheme="minorBidi" w:eastAsiaTheme="minorHAnsi"/>
          <w:b/>
        </w:rPr>
        <w:t xml:space="preserve">Místo stavby: </w:t>
        <w:tab/>
        <w:tab/>
      </w:r>
      <w:r>
        <w:rPr>
          <w:rFonts w:eastAsia="Calibri" w:cs="" w:cstheme="minorBidi" w:eastAsiaTheme="minorHAnsi"/>
        </w:rPr>
        <w:t>katastrální území Slatina u Horní Vltavice</w:t>
      </w:r>
    </w:p>
    <w:p>
      <w:pPr>
        <w:pStyle w:val="Normal"/>
        <w:rPr/>
      </w:pPr>
      <w:r>
        <w:rPr>
          <w:rFonts w:cs="Calibri" w:cstheme="minorHAnsi"/>
          <w:b/>
        </w:rPr>
        <w:t>Celková plocha:</w:t>
        <w:tab/>
        <w:t xml:space="preserve">             </w:t>
      </w:r>
      <w:r>
        <w:rPr>
          <w:rFonts w:cs="Calibri" w:cstheme="minorHAnsi"/>
          <w:b w:val="false"/>
          <w:bCs w:val="false"/>
        </w:rPr>
        <w:t xml:space="preserve"> 150 000</w:t>
      </w:r>
      <w:r>
        <w:rPr>
          <w:rFonts w:cs="Calibri" w:cstheme="minorHAnsi"/>
          <w:b w:val="false"/>
          <w:bCs w:val="false"/>
          <w:position w:val="0"/>
          <w:sz w:val="22"/>
          <w:sz w:val="22"/>
          <w:vertAlign w:val="baseline"/>
        </w:rPr>
        <w:t xml:space="preserve"> m</w:t>
      </w:r>
      <w:r>
        <w:rPr>
          <w:rFonts w:cs="Calibri" w:cstheme="minorHAnsi"/>
          <w:b w:val="false"/>
          <w:bCs w:val="false"/>
          <w:vertAlign w:val="superscript"/>
        </w:rPr>
        <w:t>2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Charakter stavby:</w:t>
      </w:r>
      <w:r>
        <w:rPr>
          <w:rFonts w:cs="Calibri" w:cstheme="minorHAnsi"/>
        </w:rPr>
        <w:t xml:space="preserve"> </w:t>
        <w:tab/>
        <w:t>Revitalizační úprava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Investor:</w:t>
      </w:r>
      <w:r>
        <w:rPr>
          <w:rFonts w:cs="Calibri" w:cstheme="minorHAnsi"/>
        </w:rPr>
        <w:t xml:space="preserve"> </w:t>
        <w:tab/>
        <w:tab/>
        <w:t>Správa Národního parku Šumava, 1. máje 260, 385 01 Vimperk</w:t>
      </w:r>
    </w:p>
    <w:p>
      <w:pPr>
        <w:pStyle w:val="Normal"/>
        <w:spacing w:before="0" w:after="0"/>
        <w:rPr>
          <w:rFonts w:cs="Calibri" w:cstheme="minorHAnsi"/>
        </w:rPr>
      </w:pPr>
      <w:r>
        <w:rPr>
          <w:rFonts w:cs="Calibri" w:cstheme="minorHAnsi"/>
          <w:b/>
        </w:rPr>
        <w:t>Projektant:</w:t>
      </w:r>
      <w:r>
        <w:rPr>
          <w:rFonts w:cs="Calibri" w:cstheme="minorHAnsi"/>
        </w:rPr>
        <w:t xml:space="preserve"> </w:t>
        <w:tab/>
        <w:tab/>
        <w:t xml:space="preserve">Martin Dobeš s.r.o., </w:t>
      </w:r>
      <w:r>
        <w:rPr>
          <w:rFonts w:eastAsia="Calibri" w:cs="Calibri" w:cstheme="minorHAnsi"/>
          <w:color w:val="auto"/>
          <w:kern w:val="0"/>
          <w:sz w:val="22"/>
          <w:szCs w:val="22"/>
          <w:lang w:val="cs-CZ" w:eastAsia="en-US" w:bidi="ar-SA"/>
        </w:rPr>
        <w:t>Pod Labuťkou 263/16, 18000 Praha 8</w:t>
      </w:r>
    </w:p>
    <w:p>
      <w:pPr>
        <w:pStyle w:val="Normal"/>
        <w:ind w:left="1416" w:firstLine="708"/>
        <w:rPr>
          <w:rFonts w:cs="Calibri" w:cstheme="minorHAnsi"/>
        </w:rPr>
      </w:pPr>
      <w:r>
        <w:rPr>
          <w:rFonts w:cs="Calibri" w:cstheme="minorHAnsi"/>
        </w:rPr>
        <w:t>Odpovědný projektant: Ing. Martin Dobeš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  <w:b/>
        </w:rPr>
        <w:t>Dodavatel:</w:t>
      </w:r>
      <w:r>
        <w:rPr>
          <w:rFonts w:cs="Calibri" w:cstheme="minorHAnsi"/>
        </w:rPr>
        <w:t xml:space="preserve"> </w:t>
        <w:tab/>
        <w:tab/>
      </w:r>
      <w:r>
        <w:rPr>
          <w:rFonts w:cs="Calibri" w:cstheme="minorHAnsi"/>
          <w:bCs/>
        </w:rPr>
        <w:t xml:space="preserve">Kasárenská 1147 , 38301 Prachatice, IČ: </w:t>
      </w:r>
      <w:r>
        <w:rPr>
          <w:rFonts w:cs="Calibri" w:cstheme="minorHAnsi"/>
          <w:color w:val="000000"/>
        </w:rPr>
        <w:t>281 47 871</w:t>
      </w:r>
    </w:p>
    <w:p>
      <w:pPr>
        <w:pStyle w:val="Normal"/>
        <w:rPr/>
      </w:pPr>
      <w:r>
        <w:rPr>
          <w:rFonts w:cs="Calibri" w:cstheme="minorHAnsi"/>
          <w:b/>
        </w:rPr>
        <w:t>Období realizace:</w:t>
      </w:r>
      <w:r>
        <w:rPr>
          <w:rFonts w:cs="Calibri" w:cstheme="minorHAnsi"/>
        </w:rPr>
        <w:t xml:space="preserve"> </w:t>
        <w:tab/>
        <w:t>7/2023 – 1</w:t>
      </w:r>
      <w:r>
        <w:rPr>
          <w:rFonts w:cs="Calibri" w:cstheme="minorHAnsi"/>
        </w:rPr>
        <w:t>1</w:t>
      </w:r>
      <w:r>
        <w:rPr>
          <w:rFonts w:cs="Calibri" w:cstheme="minorHAnsi"/>
        </w:rPr>
        <w:t>/2023</w:t>
      </w:r>
    </w:p>
    <w:p>
      <w:pPr>
        <w:pStyle w:val="Normal"/>
        <w:rPr>
          <w:rFonts w:cs="Calibri" w:cstheme="minorHAnsi"/>
          <w:b/>
          <w:b/>
        </w:rPr>
      </w:pPr>
      <w:r>
        <w:rPr>
          <w:rFonts w:cs="Calibri" w:cstheme="minorHAnsi"/>
          <w:b/>
        </w:rPr>
        <w:t xml:space="preserve">Seznam pozemků, na kterých se stavba umisťuje: </w:t>
      </w:r>
    </w:p>
    <w:p>
      <w:pPr>
        <w:pStyle w:val="Pedformtovantext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</w:rPr>
      </w:pPr>
      <w:r>
        <w:rPr>
          <w:rFonts w:eastAsia="Calibri" w:cs="" w:cstheme="minorBidi" w:eastAsiaTheme="minorHAnsi" w:ascii="Calibri" w:hAnsi="Calibri"/>
          <w:b w:val="false"/>
          <w:bCs w:val="false"/>
          <w:i/>
          <w:iCs/>
        </w:rPr>
      </w:r>
    </w:p>
    <w:tbl>
      <w:tblPr>
        <w:tblW w:w="9569" w:type="dxa"/>
        <w:jc w:val="left"/>
        <w:tblInd w:w="0" w:type="dxa"/>
        <w:tblBorders/>
        <w:tblCellMar>
          <w:top w:w="0" w:type="dxa"/>
          <w:left w:w="70" w:type="dxa"/>
          <w:bottom w:w="0" w:type="dxa"/>
          <w:right w:w="70" w:type="dxa"/>
        </w:tblCellMar>
      </w:tblPr>
      <w:tblGrid>
        <w:gridCol w:w="1400"/>
        <w:gridCol w:w="4552"/>
        <w:gridCol w:w="1559"/>
        <w:gridCol w:w="1537"/>
        <w:gridCol w:w="498"/>
        <w:gridCol w:w="23"/>
      </w:tblGrid>
      <w:tr>
        <w:trPr>
          <w:trHeight w:val="252" w:hRule="atLeast"/>
        </w:trPr>
        <w:tc>
          <w:tcPr>
            <w:tcW w:w="5952" w:type="dxa"/>
            <w:gridSpan w:val="2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katastrální území: Slatina u Horní Vltavice</w:t>
            </w:r>
          </w:p>
        </w:tc>
        <w:tc>
          <w:tcPr>
            <w:tcW w:w="1559" w:type="dxa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1537" w:type="dxa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498" w:type="dxa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23" w:type="dxa"/>
            <w:tcBorders/>
            <w:shd w:fill="FFFFFF" w:val="clear"/>
            <w:vAlign w:val="bottom"/>
          </w:tcPr>
          <w:p>
            <w:pPr>
              <w:pStyle w:val="Normal"/>
              <w:widowControl/>
              <w:bidi w:val="0"/>
              <w:spacing w:lineRule="auto" w:line="276" w:before="0" w:after="200"/>
              <w:jc w:val="left"/>
              <w:rPr/>
            </w:pPr>
            <w:r>
              <w:rPr/>
            </w:r>
          </w:p>
        </w:tc>
      </w:tr>
      <w:tr>
        <w:trPr>
          <w:trHeight w:val="252" w:hRule="atLeast"/>
        </w:trPr>
        <w:tc>
          <w:tcPr>
            <w:tcW w:w="5952" w:type="dxa"/>
            <w:gridSpan w:val="2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Pozemky dotčené stavbou</w:t>
            </w:r>
          </w:p>
        </w:tc>
        <w:tc>
          <w:tcPr>
            <w:tcW w:w="1559" w:type="dxa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1537" w:type="dxa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498" w:type="dxa"/>
            <w:tcBorders/>
            <w:shd w:fill="FFFFFF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23" w:type="dxa"/>
            <w:tcBorders/>
            <w:shd w:fill="FFFFFF" w:val="clear"/>
            <w:vAlign w:val="bottom"/>
          </w:tcPr>
          <w:p>
            <w:pPr>
              <w:pStyle w:val="Normal"/>
              <w:widowControl/>
              <w:bidi w:val="0"/>
              <w:spacing w:lineRule="auto" w:line="276" w:before="0" w:after="200"/>
              <w:jc w:val="left"/>
              <w:rPr/>
            </w:pPr>
            <w:r>
              <w:rPr/>
            </w:r>
          </w:p>
        </w:tc>
      </w:tr>
      <w:tr>
        <w:trPr>
          <w:trHeight w:val="252" w:hRule="atLeast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jc w:val="center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č. parcely</w:t>
            </w:r>
          </w:p>
        </w:tc>
        <w:tc>
          <w:tcPr>
            <w:tcW w:w="4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vlastník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druh pozemku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způsob využití</w:t>
            </w:r>
          </w:p>
        </w:tc>
        <w:tc>
          <w:tcPr>
            <w:tcW w:w="5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b/>
                <w:b/>
                <w:bCs/>
                <w:color w:val="000000"/>
                <w:szCs w:val="19"/>
                <w:lang w:eastAsia="cs-CZ"/>
              </w:rPr>
            </w:pPr>
            <w:r>
              <w:rPr>
                <w:b/>
                <w:bCs/>
                <w:color w:val="000000"/>
                <w:szCs w:val="19"/>
                <w:lang w:eastAsia="cs-CZ"/>
              </w:rPr>
              <w:t>ZPF</w:t>
            </w:r>
          </w:p>
        </w:tc>
      </w:tr>
      <w:tr>
        <w:trPr>
          <w:trHeight w:val="480" w:hRule="atLeast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338/1</w:t>
            </w:r>
          </w:p>
        </w:tc>
        <w:tc>
          <w:tcPr>
            <w:tcW w:w="4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 xml:space="preserve">Česká republika, Správa Národního parku Šumava, </w:t>
              <w:br/>
              <w:t xml:space="preserve">1. máje 260/19, Vimperk II, 38501 Vimperk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ostatní plocha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jiná plocha</w:t>
            </w:r>
          </w:p>
        </w:tc>
        <w:tc>
          <w:tcPr>
            <w:tcW w:w="5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</w:tr>
      <w:tr>
        <w:trPr>
          <w:trHeight w:val="240" w:hRule="atLeast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301/2</w:t>
            </w:r>
          </w:p>
        </w:tc>
        <w:tc>
          <w:tcPr>
            <w:tcW w:w="4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Obec Horní Vltavice, č. p. 80, 38491 Horní Vltavice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ostatní plocha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neplodná půda</w:t>
            </w:r>
          </w:p>
        </w:tc>
        <w:tc>
          <w:tcPr>
            <w:tcW w:w="5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</w:tr>
      <w:tr>
        <w:trPr>
          <w:trHeight w:val="480" w:hRule="atLeast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301/1</w:t>
            </w:r>
          </w:p>
        </w:tc>
        <w:tc>
          <w:tcPr>
            <w:tcW w:w="4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 xml:space="preserve">Česká republika, Správa Národního parku Šumava, </w:t>
              <w:br/>
              <w:t xml:space="preserve">1. máje 260/19, Vimperk II, 38501 Vimperk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ostatní plocha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neplodná půda</w:t>
            </w:r>
          </w:p>
        </w:tc>
        <w:tc>
          <w:tcPr>
            <w:tcW w:w="5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bottom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</w:tr>
      <w:tr>
        <w:trPr>
          <w:trHeight w:val="480" w:hRule="atLeast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272/1</w:t>
            </w:r>
          </w:p>
        </w:tc>
        <w:tc>
          <w:tcPr>
            <w:tcW w:w="4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 xml:space="preserve">Česká republika, Správa Národního parku Šumava, </w:t>
              <w:br/>
              <w:t xml:space="preserve">1. máje 260/19, Vimperk II, 38501 Vimperk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trvalý travní porost</w:t>
            </w:r>
          </w:p>
        </w:tc>
        <w:tc>
          <w:tcPr>
            <w:tcW w:w="1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 </w:t>
            </w:r>
          </w:p>
        </w:tc>
        <w:tc>
          <w:tcPr>
            <w:tcW w:w="5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0"/>
              <w:rPr>
                <w:color w:val="000000"/>
                <w:szCs w:val="19"/>
                <w:lang w:eastAsia="cs-CZ"/>
              </w:rPr>
            </w:pPr>
            <w:r>
              <w:rPr>
                <w:color w:val="000000"/>
                <w:szCs w:val="19"/>
                <w:lang w:eastAsia="cs-CZ"/>
              </w:rPr>
              <w:t>ZPF</w:t>
            </w:r>
          </w:p>
        </w:tc>
      </w:tr>
    </w:tbl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</w:rPr>
      </w:pPr>
      <w:r>
        <w:rPr>
          <w:rFonts w:eastAsia="Calibri" w:cs="" w:cstheme="minorBidi" w:eastAsiaTheme="minorHAnsi"/>
          <w:b w:val="false"/>
          <w:bCs w:val="false"/>
          <w:i/>
          <w:iCs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  <w:i/>
          <w:i/>
          <w:iCs/>
          <w:highlight w:val="yellow"/>
        </w:rPr>
      </w:pPr>
      <w:r>
        <w:rPr>
          <w:rFonts w:eastAsia="Calibri" w:cs="" w:cstheme="minorBidi" w:eastAsiaTheme="minorHAnsi"/>
          <w:b w:val="false"/>
          <w:bCs w:val="false"/>
          <w:i/>
          <w:iCs/>
          <w:highlight w:val="yellow"/>
        </w:rPr>
      </w:r>
    </w:p>
    <w:p>
      <w:pPr>
        <w:pStyle w:val="Normal"/>
        <w:rPr/>
      </w:pPr>
      <w:r>
        <w:rPr>
          <w:rFonts w:eastAsia="Calibri" w:cs="" w:cstheme="minorBidi" w:eastAsiaTheme="minorHAnsi"/>
          <w:b/>
        </w:rPr>
        <w:t>Technická zpráva:</w:t>
      </w:r>
    </w:p>
    <w:p>
      <w:pPr>
        <w:pStyle w:val="Normal"/>
        <w:rPr/>
      </w:pPr>
      <w:r>
        <w:rPr>
          <w:rFonts w:cs="Calibri"/>
        </w:rPr>
        <w:t>V průběhu výstavby došlo k určitým úpravám oproti projektové dokumentaci. Jde o snížení počtu hrází. V původním projektu bylo kalkulováno s 262 ks hrází, ve skutečnosti bylo postaveno 125 ks hrází. Dřevěné hráze byly nahrazeny hutněnou zeminou a zásypem kanálů v plné délce. S ohledem na minimální spád terénu je to u menších kanálů (hloubka do 0,5 m) přijatelné a funkční technické řešení. Větší kanály byly navíc zahrnuty nad rámec původního záměru – došlo prakticky k vyrovnání terénu a úplnému odstranění břehových valů. Vzhledem k situaci v terénu (velký počet velmi mělkých kanálů v suchých partiích louky s minimálním spádem) lze původní počet navržených hrází za naddimenzovaný a redukce vedla k finanční úspoře při splnění cílů provedené revitalizace.</w:t>
      </w:r>
    </w:p>
    <w:p>
      <w:pPr>
        <w:pStyle w:val="Normal"/>
        <w:rPr/>
      </w:pPr>
      <w:r>
        <w:rPr>
          <w:rFonts w:cs="Calibri"/>
        </w:rPr>
        <w:t xml:space="preserve">Přesná poloha hrází a řešených kanálů je zahrnuta v Zaměření skutečného provedení stavby, které je přílohou této zprávy. </w:t>
      </w:r>
      <w:r>
        <w:rPr>
          <w:rFonts w:eastAsia="Calibri" w:cs="Calibri" w:eastAsiaTheme="minorHAnsi"/>
        </w:rPr>
        <w:t xml:space="preserve"> Jde výhradně o hráze typu B s masivním zemním obsypem (resp. vyplněním kanálu).</w:t>
      </w:r>
    </w:p>
    <w:p>
      <w:pPr>
        <w:pStyle w:val="Normal"/>
        <w:rPr/>
      </w:pPr>
      <w:r>
        <w:rPr>
          <w:rFonts w:eastAsia="Calibri" w:cs="Calibri" w:eastAsiaTheme="minorHAnsi"/>
        </w:rPr>
        <w:t xml:space="preserve">Bylo provedeno přerušení trubní drenáže na 4 místech dle PD (výkop sondy, ucpávka trubky, zaslepení jílem a zásyp výkopkem). Před zahájením prací byla vytyčena přesná trasa sdělovacího kabelu vedeného souběžně se silnicí. Všechny výkopové práce byly prováděny mimo trasu kabelu, nedošlo tedy k jeho obnažení. </w:t>
      </w:r>
    </w:p>
    <w:p>
      <w:pPr>
        <w:pStyle w:val="Normal"/>
        <w:rPr/>
      </w:pPr>
      <w:r>
        <w:rPr>
          <w:rFonts w:eastAsia="Calibri" w:cs="Calibri" w:eastAsiaTheme="minorHAnsi"/>
        </w:rPr>
        <w:t>Byla vytvořena tůň pod propustkem s odtokem v podobě nově vytvořeného koryta Q1. Tůň je zpevněná (vyložená) kamenem kladeným do jílu. Zpevněný je rovněž odtok. Trasa potoka je vytvářená pouze stržením drnu (hloubka do 20 cm) s přírodě blízkým tvarem meandrů. V místě křížení trasy potoka s podzemním optickým kabelem je koryto potoka vyložené kamenem, aby nemohlo dojít k hloubkové erozi (koryto je dimenzováno jako poměrně široké – cca 50 cm a mělké). V místě křížení nového koryta s trasou příjezdové cesty na louky je koryto vyloženo kameny v šířce cca 5 metrů – je zde vytvořen brod pro přejezd techniky pro sečení luk dle předchozí domluvy s nájemcem pozemku. Trasa koryta a technické řešení tůně odpovídá schválené PD.</w:t>
      </w:r>
    </w:p>
    <w:p>
      <w:pPr>
        <w:pStyle w:val="Normal"/>
        <w:rPr/>
      </w:pPr>
      <w:r>
        <w:rPr>
          <w:rFonts w:eastAsia="Calibri" w:cs="Calibri" w:eastAsiaTheme="minorHAnsi"/>
        </w:rPr>
        <w:t>Vzhledem k minimálnímu odtoku pod propustkem na začátku kanálu C19 nebylo vytvářeno souvislé koryto Q2. Vzhledem ke konfiguraci terénu se voda ztrácí ve sníženině pod silnicí porostlé olšemi a rákosím. V případě velkého množství vody bude odtok probíhat plošně nebo podmokem, což je vzhledem ke spádu k řece a extenzivnímu využití louky přijatelné.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  <w:b/>
          <w:b/>
          <w:bCs/>
        </w:rPr>
      </w:pPr>
      <w:r>
        <w:rPr>
          <w:rFonts w:eastAsia="Calibri" w:cs="" w:cstheme="minorBidi" w:eastAsiaTheme="minorHAnsi"/>
          <w:b/>
          <w:bCs/>
        </w:rPr>
        <w:t>V dotčeném území se nachází několik registrovaných vodních toků.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Teplá Vltava IDVT 10100063 (nebyla dotčena)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IDVT 10268349 – potok vedený příkopem nad silnicí, propustkem, pak trubní drenáží do kanálu C16 a do Vltavy. Jde o skutečný potok v umělé trase.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IDVT 10239213 – bývalý náhon vedený s minimálním spádem v místech bývalé obce. Sloužil jako recipient podzemní trubní drenáže.</w:t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IDVT 10238982, IDVT 10261365, IDVT 10281876, IDVT 10283450, IDVT 10241443, IDVT 10243112 – povrchové kanály, nejde o vodní toky. Během revitalizace zrušeny.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</w:r>
    </w:p>
    <w:p>
      <w:pPr>
        <w:pStyle w:val="Normal"/>
        <w:jc w:val="both"/>
        <w:rPr>
          <w:highlight w:val="yellow"/>
        </w:rPr>
      </w:pPr>
      <w:r>
        <w:rPr>
          <w:highlight w:val="yellow"/>
        </w:rPr>
      </w:r>
    </w:p>
    <w:tbl>
      <w:tblPr>
        <w:tblW w:w="9638" w:type="dxa"/>
        <w:jc w:val="lef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top w:w="55" w:type="dxa"/>
          <w:left w:w="50" w:type="dxa"/>
          <w:bottom w:w="55" w:type="dxa"/>
          <w:right w:w="55" w:type="dxa"/>
        </w:tblCellMar>
      </w:tblPr>
      <w:tblGrid>
        <w:gridCol w:w="1224"/>
        <w:gridCol w:w="2316"/>
        <w:gridCol w:w="6098"/>
      </w:tblGrid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B4C7DC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b/>
                <w:bCs/>
                <w:i w:val="false"/>
                <w:iCs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</w:rPr>
              <w:t>IDVT, typ vodoteče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B4C7DC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b/>
                <w:bCs/>
                <w:i w:val="false"/>
                <w:iCs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</w:rPr>
              <w:t>Označení v PD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B4C7DC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>
                <w:b/>
                <w:bCs/>
                <w:i w:val="false"/>
                <w:iCs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</w:rPr>
              <w:t>Technické řešení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10268349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Q1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Potok vedoucí z úbočí Slatinského vrchu do příkopu silnice č.167, proveden propustkem. Pod propustkem byla vytvořena tůň a z ní přírodě blízké koryto Q1 (dle PD). Poloha toku není přirozená, ale odpovídá aktuální situaci (voda provedena propustkem). Charakter koryta pod silnicí je již přírodě blízký.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 xml:space="preserve">10239213 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Bývalý náhon.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10238982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Bývalý náhon u Teplé Vltavy, recipient některých kanálů.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10261365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C7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10281876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 xml:space="preserve">Odvodňovací kanál umělý. Zrušen, zablokován dřevěnými hrázkami a zásypem. </w:t>
            </w:r>
            <w:bookmarkStart w:id="0" w:name="__DdeLink__6795_1943405321"/>
            <w:r>
              <w:rPr/>
              <w:t>V evidenci zrušit.</w:t>
            </w:r>
            <w:bookmarkEnd w:id="0"/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10283450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B10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10241443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Calibri" w:hAnsi="Calibri" w:eastAsia="Calibri" w:cs="" w:asciiTheme="minorHAnsi" w:cstheme="minorBidi" w:eastAsiaTheme="minorHAnsi" w:hAnsiTheme="minorHAnsi"/>
              </w:rPr>
            </w:pPr>
            <w:r>
              <w:rPr>
                <w:rFonts w:cs="Calibri" w:ascii="ArialMT" w:hAnsi="ArialMT"/>
                <w:color w:val="000000"/>
                <w:sz w:val="19"/>
                <w:szCs w:val="22"/>
              </w:rPr>
              <w:t>10243112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A11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Odvodňovací kanál umělý. Zrušen, zablokován dřevěnými hrázkami a zásypem. V evidenci zrušit.</w:t>
            </w:r>
          </w:p>
        </w:tc>
      </w:tr>
      <w:tr>
        <w:trPr/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ascii="ArialMT" w:hAnsi="ArialMT" w:eastAsia="Calibri" w:cs="Calibri"/>
                <w:color w:val="000000"/>
                <w:kern w:val="0"/>
                <w:sz w:val="19"/>
                <w:szCs w:val="22"/>
                <w:lang w:val="cs-CZ" w:eastAsia="en-US" w:bidi="ar-SA"/>
              </w:rPr>
            </w:pPr>
            <w:r>
              <w:rPr>
                <w:rFonts w:eastAsia="Calibri" w:cs="Calibri" w:ascii="ArialMT" w:hAnsi="ArialMT"/>
                <w:color w:val="000000"/>
                <w:kern w:val="0"/>
                <w:sz w:val="19"/>
                <w:szCs w:val="22"/>
                <w:lang w:val="cs-CZ" w:eastAsia="en-US" w:bidi="ar-SA"/>
              </w:rPr>
              <w:t>10100063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Teplá Vltava</w: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Obsahtabulky"/>
              <w:spacing w:before="0" w:after="200"/>
              <w:jc w:val="left"/>
              <w:rPr/>
            </w:pPr>
            <w:r>
              <w:rPr/>
              <w:t>Nebyla dotčena</w:t>
            </w:r>
          </w:p>
        </w:tc>
      </w:tr>
    </w:tbl>
    <w:p>
      <w:pPr>
        <w:pStyle w:val="Normal"/>
        <w:jc w:val="both"/>
        <w:rPr>
          <w:highlight w:val="yellow"/>
        </w:rPr>
      </w:pPr>
      <w:r>
        <w:rPr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Při stavbě byla v souladu s projektovou dokumentací realizována následující opatření, technické řešení jednotlivých opatření odpovídá popisu a vzorovým výkresům ve schválené projektové dokumentaci:</w:t>
      </w:r>
    </w:p>
    <w:p>
      <w:pPr>
        <w:pStyle w:val="ListParagraph"/>
        <w:numPr>
          <w:ilvl w:val="0"/>
          <w:numId w:val="1"/>
        </w:numPr>
        <w:spacing w:lineRule="auto" w:line="276"/>
        <w:rPr>
          <w:rFonts w:ascii="Calibri" w:hAnsi="Calibri" w:eastAsia="Calibri" w:cs="" w:asciiTheme="minorHAnsi" w:cstheme="minorBidi" w:eastAsiaTheme="minorHAnsi" w:hAnsiTheme="minorHAnsi"/>
          <w:color w:val="auto"/>
          <w:kern w:val="0"/>
          <w:sz w:val="22"/>
          <w:szCs w:val="22"/>
          <w:lang w:val="cs-CZ" w:eastAsia="en-US" w:bidi="ar-SA"/>
        </w:rPr>
      </w:pPr>
      <w:r>
        <w:rPr>
          <w:rFonts w:eastAsia="Calibri" w:cs="" w:cstheme="minorBidi" w:eastAsiaTheme="minorHAnsi"/>
          <w:color w:val="auto"/>
          <w:kern w:val="0"/>
          <w:sz w:val="22"/>
          <w:szCs w:val="22"/>
          <w:lang w:val="cs-CZ" w:eastAsia="en-US" w:bidi="ar-SA"/>
        </w:rPr>
        <w:t xml:space="preserve">Přehrazení – Typ B – zemní hrázka s jednou stěnou z prken </w:t>
      </w:r>
    </w:p>
    <w:p>
      <w:pPr>
        <w:pStyle w:val="Normal"/>
        <w:numPr>
          <w:ilvl w:val="0"/>
          <w:numId w:val="1"/>
        </w:numPr>
        <w:spacing w:lineRule="auto" w:line="276"/>
        <w:rPr>
          <w:rFonts w:ascii="Calibri" w:hAnsi="Calibri" w:eastAsia="Calibri" w:cs="" w:asciiTheme="minorHAnsi" w:cstheme="minorBidi" w:eastAsiaTheme="minorHAnsi" w:hAnsiTheme="minorHAnsi"/>
          <w:color w:val="auto"/>
          <w:kern w:val="0"/>
          <w:sz w:val="22"/>
          <w:szCs w:val="22"/>
          <w:lang w:val="cs-CZ" w:eastAsia="en-US" w:bidi="ar-SA"/>
        </w:rPr>
      </w:pPr>
      <w:r>
        <w:rPr>
          <w:rFonts w:eastAsia="Calibri" w:cs="" w:cstheme="minorBidi" w:eastAsiaTheme="minorHAnsi"/>
          <w:color w:val="auto"/>
          <w:kern w:val="0"/>
          <w:sz w:val="22"/>
          <w:szCs w:val="22"/>
          <w:lang w:val="cs-CZ" w:eastAsia="en-US" w:bidi="ar-SA"/>
        </w:rPr>
        <w:t>Opatření typ F – Vyplnění přehrazených kanálů zeminou</w:t>
      </w:r>
    </w:p>
    <w:p>
      <w:pPr>
        <w:pStyle w:val="Normal"/>
        <w:numPr>
          <w:ilvl w:val="0"/>
          <w:numId w:val="1"/>
        </w:numPr>
        <w:spacing w:lineRule="auto" w:line="276"/>
        <w:rPr>
          <w:rFonts w:ascii="Calibri" w:hAnsi="Calibri" w:eastAsia="Calibri" w:cs="" w:asciiTheme="minorHAnsi" w:cstheme="minorBidi" w:eastAsiaTheme="minorHAnsi" w:hAnsiTheme="minorHAnsi"/>
          <w:color w:val="auto"/>
          <w:kern w:val="0"/>
          <w:sz w:val="22"/>
          <w:szCs w:val="22"/>
          <w:lang w:val="cs-CZ" w:eastAsia="en-US" w:bidi="ar-SA"/>
        </w:rPr>
      </w:pPr>
      <w:r>
        <w:rPr>
          <w:rFonts w:eastAsia="Calibri" w:cs="" w:cstheme="minorBidi" w:eastAsiaTheme="minorHAnsi"/>
          <w:color w:val="auto"/>
          <w:kern w:val="0"/>
          <w:sz w:val="22"/>
          <w:szCs w:val="22"/>
          <w:lang w:val="cs-CZ" w:eastAsia="en-US" w:bidi="ar-SA"/>
        </w:rPr>
        <w:t xml:space="preserve">Opatření typ H – Obnova původních koryt a vlásečnic </w:t>
      </w:r>
    </w:p>
    <w:p>
      <w:pPr>
        <w:pStyle w:val="Normal"/>
        <w:numPr>
          <w:ilvl w:val="0"/>
          <w:numId w:val="1"/>
        </w:numPr>
        <w:spacing w:lineRule="auto" w:line="276"/>
        <w:rPr>
          <w:rFonts w:ascii="Calibri" w:hAnsi="Calibri" w:eastAsia="Calibri" w:cs="" w:asciiTheme="minorHAnsi" w:cstheme="minorBidi" w:eastAsiaTheme="minorHAnsi" w:hAnsiTheme="minorHAnsi"/>
          <w:color w:val="auto"/>
          <w:kern w:val="0"/>
          <w:sz w:val="22"/>
          <w:szCs w:val="22"/>
          <w:lang w:val="cs-CZ" w:eastAsia="en-US" w:bidi="ar-SA"/>
        </w:rPr>
      </w:pPr>
      <w:r>
        <w:rPr>
          <w:rFonts w:eastAsia="Calibri" w:cs="" w:cstheme="minorBidi" w:eastAsiaTheme="minorHAnsi"/>
          <w:color w:val="auto"/>
          <w:kern w:val="0"/>
          <w:sz w:val="22"/>
          <w:szCs w:val="22"/>
          <w:lang w:val="cs-CZ" w:eastAsia="en-US" w:bidi="ar-SA"/>
        </w:rPr>
        <w:t xml:space="preserve"> </w:t>
      </w:r>
      <w:r>
        <w:rPr>
          <w:rFonts w:eastAsia="Calibri" w:cs="" w:cstheme="minorBidi" w:eastAsiaTheme="minorHAnsi"/>
          <w:color w:val="auto"/>
          <w:kern w:val="0"/>
          <w:sz w:val="22"/>
          <w:szCs w:val="22"/>
          <w:lang w:val="cs-CZ" w:eastAsia="en-US" w:bidi="ar-SA"/>
        </w:rPr>
        <w:t xml:space="preserve">Opatření L – Zablokování potrubí </w:t>
      </w:r>
    </w:p>
    <w:p>
      <w:pPr>
        <w:pStyle w:val="ListParagraph"/>
        <w:spacing w:lineRule="auto" w:line="276"/>
        <w:ind w:left="720" w:hanging="0"/>
        <w:rPr>
          <w:highlight w:val="yellow"/>
        </w:rPr>
      </w:pPr>
      <w:r>
        <w:rPr>
          <w:highlight w:val="yellow"/>
        </w:rPr>
      </w:r>
    </w:p>
    <w:p>
      <w:pPr>
        <w:pStyle w:val="Normal"/>
        <w:rPr>
          <w:rFonts w:ascii="Calibri" w:hAnsi="Calibri" w:eastAsia="Calibri" w:cs="" w:asciiTheme="minorHAnsi" w:cstheme="minorBidi" w:eastAsiaTheme="minorHAnsi" w:hAnsiTheme="minorHAnsi"/>
        </w:rPr>
      </w:pPr>
      <w:r>
        <w:rPr>
          <w:rFonts w:eastAsia="Calibri" w:cs="" w:cstheme="minorBidi" w:eastAsiaTheme="minorHAnsi"/>
        </w:rPr>
        <w:t>Počty hrází instalované na jednotlivých odvodňovacích kanálech a jejich změny oproti projektové dokumentaci jsou uvedeny v následující tabulce.</w:t>
      </w:r>
    </w:p>
    <w:tbl>
      <w:tblPr>
        <w:tblW w:w="8786" w:type="dxa"/>
        <w:jc w:val="left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0" w:type="dxa"/>
          <w:left w:w="65" w:type="dxa"/>
          <w:bottom w:w="0" w:type="dxa"/>
          <w:right w:w="70" w:type="dxa"/>
        </w:tblCellMar>
        <w:tblLook w:firstRow="1" w:noVBand="1" w:lastRow="0" w:firstColumn="1" w:lastColumn="0" w:noHBand="0" w:val="04a0"/>
      </w:tblPr>
      <w:tblGrid>
        <w:gridCol w:w="1060"/>
        <w:gridCol w:w="1220"/>
        <w:gridCol w:w="1360"/>
        <w:gridCol w:w="2144"/>
        <w:gridCol w:w="3002"/>
      </w:tblGrid>
      <w:tr>
        <w:trPr>
          <w:trHeight w:val="816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Označení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Celková délka (m)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Navržené přehrádky (B+E)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b/>
                <w:bCs/>
                <w:color w:val="000000"/>
                <w:szCs w:val="22"/>
              </w:rPr>
              <w:t>Realizované přehrádky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before="0" w:after="200"/>
              <w:jc w:val="left"/>
              <w:rPr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Poznámka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917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10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Zcela zasypán, masivní hráze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Nefunkční, suchá část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78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Nefunkční, suchá část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67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Nefunkční, suchá část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39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Nefunkční, suchá část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66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Nefunkční, suchá část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A6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78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Velmi mělký, nezřetelný, redukce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A7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Velmi mělký, nezřetelný, redukce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A8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24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Velmi mělký, nezřetelný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87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Velmi mělký, nezřetelný, redukce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54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3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Cs w:val="22"/>
              </w:rPr>
            </w:pPr>
            <w:r>
              <w:rPr>
                <w:rFonts w:cs="Calibri"/>
                <w:color w:val="000000"/>
                <w:szCs w:val="22"/>
              </w:rPr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Velmi mělký, nezřetelný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A11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119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6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6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A12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123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6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2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Mělký, rozplavený, zásyp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A13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170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8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>
                <w:rFonts w:cs="Calibri"/>
                <w:color w:val="000000"/>
                <w:szCs w:val="22"/>
              </w:rPr>
              <w:t>5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Mělký, rozplavený, zásyp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A14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159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8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5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Mělký, rozplavený, zásyp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A15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166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8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Velmi mělký, nezřetelný, redukce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354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17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8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Horní úsek rozplavený a nepřístupný, řešena jen spodní část, silný zásyp z valů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188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9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Jen horní úsek, spodní rozplavený – nelze zavázat hráze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70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7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Jen horní úsek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42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B6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192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9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Rozplavený, nelze zavázat hráze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B7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B8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24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241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15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8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Zásyp, redukce hrází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Nezřetelný, nefunkční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142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10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Rozplavený, nelze zavázat hráze; částečně řešeno ucpáním recipientu B10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B13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57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254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16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12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Zásyp z břehových valů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45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C6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C7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241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15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9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Zásyp z břehových valů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C8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68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6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Redukce, nezřetelný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46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Rozplavený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C13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229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15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16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Zásyp z břehových valů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25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47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Redukce, ucpán recipient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C16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227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17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16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Zásyp z břehových valů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C17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55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Redukce, ucpán recipient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C18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63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3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Nefunkční, neřešen</w:t>
            </w:r>
          </w:p>
        </w:tc>
      </w:tr>
      <w:tr>
        <w:trPr>
          <w:trHeight w:val="312" w:hRule="atLeast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C19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130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8</w:t>
            </w:r>
          </w:p>
        </w:tc>
        <w:tc>
          <w:tcPr>
            <w:tcW w:w="2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</w:tcPr>
          <w:p>
            <w:pPr>
              <w:pStyle w:val="Normal"/>
              <w:spacing w:before="0" w:after="200"/>
              <w:jc w:val="left"/>
              <w:rPr/>
            </w:pPr>
            <w:r>
              <w:rPr/>
              <w:t>11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fill="auto" w:val="clear"/>
            <w:vAlign w:val="center"/>
          </w:tcPr>
          <w:p>
            <w:pPr>
              <w:pStyle w:val="Normal"/>
              <w:spacing w:before="0" w:after="200"/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Zásyp z břehových valů</w:t>
            </w:r>
          </w:p>
        </w:tc>
      </w:tr>
    </w:tbl>
    <w:p>
      <w:pPr>
        <w:pStyle w:val="Normal"/>
        <w:rPr>
          <w:rFonts w:cs="Calibri" w:cstheme="minorHAnsi"/>
          <w:b/>
          <w:b/>
          <w:highlight w:val="yellow"/>
        </w:rPr>
      </w:pPr>
      <w:r>
        <w:rPr>
          <w:rFonts w:cs="Calibri" w:cstheme="minorHAnsi"/>
          <w:b/>
          <w:highlight w:val="yellow"/>
        </w:rPr>
      </w:r>
    </w:p>
    <w:p>
      <w:pPr>
        <w:pStyle w:val="Normal"/>
        <w:rPr>
          <w:b/>
          <w:b/>
          <w:highlight w:val="yellow"/>
        </w:rPr>
      </w:pPr>
      <w:r>
        <w:rPr>
          <w:b/>
          <w:highlight w:val="yellow"/>
        </w:rPr>
      </w:r>
    </w:p>
    <w:tbl>
      <w:tblPr>
        <w:tblW w:w="9075" w:type="dxa"/>
        <w:jc w:val="left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0" w:type="dxa"/>
          <w:left w:w="65" w:type="dxa"/>
          <w:bottom w:w="0" w:type="dxa"/>
          <w:right w:w="70" w:type="dxa"/>
        </w:tblCellMar>
        <w:tblLook w:firstRow="1" w:noVBand="1" w:lastRow="0" w:firstColumn="1" w:lastColumn="0" w:noHBand="0" w:val="04a0"/>
      </w:tblPr>
      <w:tblGrid>
        <w:gridCol w:w="5665"/>
        <w:gridCol w:w="1472"/>
        <w:gridCol w:w="1938"/>
      </w:tblGrid>
      <w:tr>
        <w:trPr>
          <w:trHeight w:val="660" w:hRule="atLeast"/>
        </w:trPr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  <w:t>Typ opatření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  <w:t xml:space="preserve">Navrženo </w:t>
            </w:r>
          </w:p>
          <w:p>
            <w:pPr>
              <w:pStyle w:val="Normal"/>
              <w:spacing w:lineRule="auto" w:line="240" w:before="0" w:after="0"/>
              <w:rPr>
                <w:rFonts w:eastAsia="Times New Roman" w:cs="Calibri" w:cstheme="minorHAnsi"/>
                <w:bCs/>
                <w:color w:val="000000"/>
                <w:lang w:eastAsia="cs-CZ"/>
              </w:rPr>
            </w:pPr>
            <w:r>
              <w:rPr>
                <w:rFonts w:eastAsia="Times New Roman" w:cs="Calibri" w:cstheme="minorHAnsi"/>
                <w:bCs/>
                <w:color w:val="000000"/>
                <w:lang w:eastAsia="cs-CZ"/>
              </w:rPr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cBorders>
            <w:shd w:color="000000" w:fill="D9D9D9" w:val="clea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  <w:t>Realizováno</w:t>
            </w:r>
          </w:p>
          <w:p>
            <w:pPr>
              <w:pStyle w:val="Normal"/>
              <w:spacing w:lineRule="auto" w:line="240" w:before="0" w:after="0"/>
              <w:rPr>
                <w:rFonts w:eastAsia="Times New Roman" w:cs="Calibri" w:cstheme="minorHAnsi"/>
                <w:b/>
                <w:b/>
                <w:bCs/>
                <w:color w:val="000000"/>
                <w:lang w:eastAsia="cs-CZ"/>
              </w:rPr>
            </w:pPr>
            <w:r>
              <w:rPr>
                <w:rFonts w:eastAsia="Times New Roman" w:cs="Calibri" w:cstheme="minorHAnsi"/>
                <w:b/>
                <w:bCs/>
                <w:color w:val="000000"/>
                <w:lang w:eastAsia="cs-CZ"/>
              </w:rPr>
            </w:r>
          </w:p>
        </w:tc>
      </w:tr>
      <w:tr>
        <w:trPr>
          <w:trHeight w:val="324" w:hRule="atLeast"/>
        </w:trPr>
        <w:tc>
          <w:tcPr>
            <w:tcW w:w="5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zablokování povrchových odvodňovacích kanálů (délka v m)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/>
                <w:color w:val="000000"/>
                <w:szCs w:val="22"/>
                <w:lang w:eastAsia="cs-CZ"/>
              </w:rPr>
              <w:t>5 408</w:t>
            </w:r>
            <w:r>
              <w:rPr>
                <w:rFonts w:eastAsia="Times New Roman" w:cs="Calibri" w:cstheme="minorHAnsi"/>
                <w:color w:val="000000"/>
                <w:lang w:eastAsia="cs-CZ"/>
              </w:rPr>
              <w:t xml:space="preserve"> m</w:t>
            </w:r>
          </w:p>
        </w:tc>
        <w:tc>
          <w:tcPr>
            <w:tcW w:w="1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eastAsia="Times New Roman" w:cs="Calibri"/>
                <w:color w:val="000000"/>
                <w:lang w:eastAsia="cs-CZ"/>
              </w:rPr>
              <w:t>4 020</w:t>
            </w:r>
            <w:bookmarkStart w:id="1" w:name="__DdeLink__2299_2672210270"/>
            <w:r>
              <w:rPr>
                <w:rFonts w:eastAsia="Times New Roman" w:cs="Calibri"/>
                <w:color w:val="000000"/>
                <w:lang w:eastAsia="cs-CZ"/>
              </w:rPr>
              <w:t xml:space="preserve"> </w:t>
            </w:r>
            <w:bookmarkEnd w:id="1"/>
            <w:r>
              <w:rPr>
                <w:rFonts w:eastAsia="Times New Roman" w:cs="Calibri"/>
                <w:color w:val="000000"/>
                <w:lang w:eastAsia="cs-CZ"/>
              </w:rPr>
              <w:t>m*</w:t>
            </w:r>
          </w:p>
        </w:tc>
      </w:tr>
      <w:tr>
        <w:trPr>
          <w:trHeight w:val="636" w:hRule="atLeast"/>
        </w:trPr>
        <w:tc>
          <w:tcPr>
            <w:tcW w:w="5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přehrazení typ B+E (prkna)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262</w:t>
            </w:r>
          </w:p>
        </w:tc>
        <w:tc>
          <w:tcPr>
            <w:tcW w:w="1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125</w:t>
            </w:r>
          </w:p>
        </w:tc>
      </w:tr>
      <w:tr>
        <w:trPr>
          <w:trHeight w:val="636" w:hRule="atLeast"/>
        </w:trPr>
        <w:tc>
          <w:tcPr>
            <w:tcW w:w="5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Zablokování podzemní trubní drenáže</w:t>
            </w:r>
          </w:p>
        </w:tc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180</w:t>
            </w:r>
          </w:p>
        </w:tc>
        <w:tc>
          <w:tcPr>
            <w:tcW w:w="1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cBorders>
            <w:shd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Calibri" w:cstheme="minorHAnsi"/>
              </w:rPr>
            </w:pPr>
            <w:r>
              <w:rPr>
                <w:rFonts w:eastAsia="Times New Roman" w:cs="Calibri" w:cstheme="minorHAnsi"/>
                <w:color w:val="000000"/>
                <w:lang w:eastAsia="cs-CZ"/>
              </w:rPr>
              <w:t>180</w:t>
            </w:r>
          </w:p>
        </w:tc>
      </w:tr>
    </w:tbl>
    <w:p>
      <w:pPr>
        <w:pStyle w:val="Normal"/>
        <w:jc w:val="both"/>
        <w:rPr>
          <w:rFonts w:ascii="Calibri" w:hAnsi="Calibri" w:eastAsia="Calibri" w:cs="" w:asciiTheme="minorHAnsi" w:cstheme="minorBidi" w:eastAsiaTheme="minorHAnsi" w:hAnsiTheme="minorHAnsi"/>
          <w:b w:val="false"/>
          <w:b w:val="false"/>
          <w:bCs w:val="false"/>
        </w:rPr>
      </w:pPr>
      <w:r>
        <w:rPr>
          <w:rFonts w:eastAsia="Calibri" w:cs="" w:cstheme="minorBidi" w:eastAsiaTheme="minorHAnsi"/>
          <w:b w:val="false"/>
          <w:bCs w:val="false"/>
        </w:rPr>
        <w:t>*Zahrnuty ovlivněné části kanálů po ucpání recipientu (zpětné vzdutí). Většina kanálů zahrnuta hutněnou zeminou. Byly vynechány zcela rozplavené a nepřístupné úseky a části nezřetelných a velmi mělkých kanálů. Výběrově budou ucpány za pomoci dobrovolníků drny.</w:t>
      </w:r>
    </w:p>
    <w:p>
      <w:pPr>
        <w:pStyle w:val="Normal"/>
        <w:jc w:val="both"/>
        <w:rPr>
          <w:rFonts w:eastAsia="Calibri" w:cs=""/>
          <w:b/>
          <w:b/>
          <w:highlight w:val="yellow"/>
        </w:rPr>
      </w:pPr>
      <w:r>
        <w:rPr>
          <w:rFonts w:eastAsia="Calibri" w:cs=""/>
          <w:b/>
          <w:highlight w:val="yellow"/>
        </w:rPr>
      </w:r>
    </w:p>
    <w:p>
      <w:pPr>
        <w:pStyle w:val="Normal"/>
        <w:jc w:val="both"/>
        <w:rPr>
          <w:b/>
          <w:b/>
        </w:rPr>
      </w:pPr>
      <w:r>
        <w:rPr>
          <w:rFonts w:eastAsia="Calibri" w:cs="" w:cstheme="minorBidi" w:eastAsiaTheme="minorHAnsi"/>
          <w:b/>
        </w:rPr>
        <w:t>Závěr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>Revitalizace Březový Lad zahrnovala zablokování 4 020 m povrchových kanálů a 180 m trubní drenáže.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>Došlo k redukci postavených hrází. Důvodem byl naddimenzovaný projekt řešící i velmi mělké kanály, které jsou v terénu nezřetelné. Část z nich je ovlivněna ucpáním recipientu (zpětné vzdutí vody), část byla zahrnuta hutněnou zeminou nad rámec PD (funkční náhrada za hráze). Část kanálů v mokrých úsecích byla vynechána, protože jsou zcela rozplavené a není technicky možné do břehů zavázat hráze. Kanály s břehovými valy byly zasypány (zcela nebo částečně). Vzhledem k malému spádu a vysokému zamokření plochy je to přijatelné řešení.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>Trubní drenáž byla řešena dle PD a voda je převedená od propustku do tůně a novým korytem Q1. Zároveň byl dokonale utěsněn a zasypán kanál C19 (voda z něj byla také jímaná trubní drenáží), voda z něj se vsakuje do louky pod silnicí. Výhledově bude vhodné nové trvale zamokřené plochy vyjmout z obhospodařování.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Koryto Q1 bylo vytvořeno dle PD a to pouhým stržením drnů (je záměrně s minimální kapacitou) až po křížení s kanálem A. Dále se voda volně rozlévá a díky morfologii terénu odtéká v trase dle PD (trasováno dle vrstevnic a situace v místě). Koryto je vytvořeno tak, aby nedošlo k ohrožení sloupů nadzemního elektrického vedení. Tůň budovaná pod propustkem je dle PD zpevněná kladeným lomovým kamenem, stejně jako břehy a přepad. Kamenem je rovněž zpevněné koryto v místě přejezdu a křížení s podzemním optickým kabelem. Trasa optického kabelu byla vytyčena před realizací stavby. V místech jeho vedení neprobíhaly zemní práce (kanál C19 byl zasypáván z valů na horní straně kanálu, kabel je vedený pod ním). Koryto bylo vytvořeno pouhým stržením drnu, hloubka do 20 cm. Díky zpevnění koryta a meandrující trase nemůže dojít k hloubkové erozi a případnému obnažení kabelu. Trasa byla vytvořena tak, aby byl tok stabilní a v přírodě blízkých parametrech. Bohužel nebylo možné ho vytvořit v morfologicky nejvhodnějším místě – voda je v horní části svahu nad silnicí svedena do propustku, který není na místě původní trasy potoka. Jde tedy o přírodě blízké řešení za dané konstelace (a bez vytváření dalšího propustku), nikoliv obnovu toku v původní trase.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Trubní drenáž zaústěná do kanálu A nebyla vyjma výše popsaného úseku upravována. Došlo k ucpání recipientů (kanál A a kanály vedoucí k řece). Díky tomu zde dochází k pozvolnému vsakování a zamokřování v ploše. Patrně dojde i k dílčímu zamokření dosud suché louky nad kanálem A (trubní meliorace samovolně degraduje a propadává se, částečně došlo k omezení odtoku během revitalizace). Výhledově bude vhodné tuto část vyjmout ze systematického hospodaření.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>Koryto Q2 bylo vytvořeno v horní části navedením vody sbírané v ucpaném kanálu C19 do nejnižšího místa. Koryto nebylo systematicky vytvářené v celé délce, protože průtoky jsou i při srážkách minimální a bylo by po většinu roku suché. Předpokládáme vytvoření plochy nebo linie se silnějším zamokřením v jeho trase – bude vhodné tyto plochy výhledově vyjmout z hospodaření.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Lokalita má většinou malý spád, části v nivě řeky jsou silně podmáčené. To umožnilo redukci stavěných hrází při splnění cíle revitalizace. Částečně byly hráze nahrazeny zásypem hutněnou zeminou v celé délce nebo vybraných úsecích kanálů. Celkově lze očekávat obnovu rašelinné vegetace, jsou zde silné porosty rašelinných/podmáčených luk s ostřicemi, místy i s oměji a klikvou. Po obnově přirozeného vodního režimu lze očekávat expanzi těchto druhů do nově zamokřených částí. Tomu napomohou i místy vytvořené mělké tůně (prohlubeniny vzniklé vyrýpáváním zeminy na zásyp) a nově obnažené plochy po stržení zemních valů na březích.</w:t>
      </w:r>
    </w:p>
    <w:p>
      <w:pPr>
        <w:pStyle w:val="Normal"/>
        <w:jc w:val="both"/>
        <w:rPr>
          <w:rFonts w:eastAsia="Calibri" w:cs="" w:cstheme="minorBidi" w:eastAsiaTheme="minorHAnsi"/>
        </w:rPr>
      </w:pPr>
      <w:r>
        <w:rPr>
          <w:rFonts w:eastAsia="Calibri" w:cs="" w:cstheme="minorBidi" w:eastAsiaTheme="minorHAnsi"/>
        </w:rPr>
        <w:t xml:space="preserve">V průběhu stavebních prací byl minimalizován negativní vliv na přírodní prostředí a předměty ochrany Národního parku Šumava, byly dodrženy všechny požadavky a podmínky stanovené dotčenými orgány. Dohled nad dodržování všech opatření zajišťovali pracovníci Správy Národního parku Šumava přímo v terénu v průběhu prací. 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Stavba byla realizována od července do listopadu 2023, tedy v období nejméně rizikovém pro zvláště chráněné druhy živočichů, zejména  tetřívka obecného a chřástala polního. Nedošlo k žádnému kácení stromů kvůli stavbě. Dotčené pozemky byly po ukončení stavby uvedeny do původního stavu. Po dobu stavby nedošlo k havárii.</w:t>
      </w:r>
      <w:r>
        <w:rPr/>
        <w:t xml:space="preserve"> 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  <w:b/>
        </w:rPr>
        <w:t>Přílohy: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Zaměření skutečného provedení stavby</w:t>
      </w:r>
    </w:p>
    <w:p>
      <w:pPr>
        <w:pStyle w:val="Normal"/>
        <w:jc w:val="both"/>
        <w:rPr/>
      </w:pPr>
      <w:r>
        <w:rPr>
          <w:rFonts w:eastAsia="Calibri" w:cs="" w:cstheme="minorBidi" w:eastAsiaTheme="minorHAnsi"/>
        </w:rPr>
        <w:t>Foto</w:t>
      </w:r>
      <w:bookmarkStart w:id="2" w:name="_GoBack"/>
      <w:bookmarkEnd w:id="2"/>
      <w:r>
        <w:rPr>
          <w:rFonts w:eastAsia="Calibri" w:cs="" w:cstheme="minorBidi" w:eastAsiaTheme="minorHAnsi"/>
        </w:rPr>
        <w:t>dokumentace</w:t>
      </w:r>
    </w:p>
    <w:p>
      <w:pPr>
        <w:pStyle w:val="Normal"/>
        <w:spacing w:before="0" w:after="200"/>
        <w:rPr/>
      </w:pPr>
      <w:r>
        <w:rPr/>
      </w:r>
    </w:p>
    <w:sectPr>
      <w:headerReference w:type="default" r:id="rId3"/>
      <w:headerReference w:type="first" r:id="rId4"/>
      <w:footerReference w:type="default" r:id="rId5"/>
      <w:type w:val="nextPage"/>
      <w:pgSz w:w="11906" w:h="16838"/>
      <w:pgMar w:left="1417" w:right="1417" w:header="708" w:top="1417" w:footer="708" w:bottom="1417" w:gutter="0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Liberation Mono">
    <w:altName w:val="Courier New"/>
    <w:charset w:val="ee"/>
    <w:family w:val="roman"/>
    <w:pitch w:val="variable"/>
  </w:font>
  <w:font w:name="ArialMT">
    <w:charset w:val="ee"/>
    <w:family w:val="roman"/>
    <w:pitch w:val="variable"/>
  </w:font>
  <w:font w:name="Arial">
    <w:charset w:val="ee"/>
    <w:family w:val="roman"/>
    <w:pitch w:val="variable"/>
  </w:font>
  <w:font w:name="Calibri">
    <w:charset w:val="01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1870652351"/>
    </w:sdtPr>
    <w:sdtContent>
      <w:p>
        <w:pPr>
          <w:pStyle w:val="Zpat"/>
          <w:jc w:val="right"/>
          <w:rPr/>
        </w:pPr>
        <w:r>
          <w:rPr/>
          <w:fldChar w:fldCharType="begin"/>
        </w:r>
        <w:r>
          <w:rPr/>
          <w:instrText> PAGE </w:instrText>
        </w:r>
        <w:r>
          <w:rPr/>
          <w:fldChar w:fldCharType="separate"/>
        </w:r>
        <w:r>
          <w:rPr/>
          <w:t>8</w:t>
        </w:r>
        <w:r>
          <w:rPr/>
          <w:fldChar w:fldCharType="end"/>
        </w:r>
      </w:p>
    </w:sdtContent>
  </w:sdt>
  <w:p>
    <w:pPr>
      <w:pStyle w:val="Zpa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Zhlav"/>
      <w:jc w:val="center"/>
      <w:rPr/>
    </w:pPr>
    <w:r>
      <w:drawing>
        <wp:anchor behindDoc="1" distT="0" distB="0" distL="114300" distR="120650" simplePos="0" locked="0" layoutInCell="1" allowOverlap="1" relativeHeight="8">
          <wp:simplePos x="0" y="0"/>
          <wp:positionH relativeFrom="column">
            <wp:posOffset>100330</wp:posOffset>
          </wp:positionH>
          <wp:positionV relativeFrom="paragraph">
            <wp:posOffset>-234315</wp:posOffset>
          </wp:positionV>
          <wp:extent cx="527050" cy="381000"/>
          <wp:effectExtent l="0" t="0" r="0" b="0"/>
          <wp:wrapNone/>
          <wp:docPr id="2" name="Obrázek 22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ázek 22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27050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114300" distR="114300" simplePos="0" locked="0" layoutInCell="1" allowOverlap="1" relativeHeight="15">
          <wp:simplePos x="0" y="0"/>
          <wp:positionH relativeFrom="column">
            <wp:posOffset>5144770</wp:posOffset>
          </wp:positionH>
          <wp:positionV relativeFrom="paragraph">
            <wp:posOffset>-233680</wp:posOffset>
          </wp:positionV>
          <wp:extent cx="553085" cy="381000"/>
          <wp:effectExtent l="0" t="0" r="0" b="0"/>
          <wp:wrapNone/>
          <wp:docPr id="3" name="Obrázek 22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ázek 222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553085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 w:ascii="Arial" w:hAnsi="Arial"/>
        <w:sz w:val="20"/>
        <w:szCs w:val="20"/>
      </w:rPr>
      <w:t>L</w:t>
    </w:r>
    <w:r>
      <w:rPr>
        <w:rFonts w:cs="Arial" w:ascii="Arial" w:hAnsi="Arial"/>
        <w:sz w:val="20"/>
        <w:szCs w:val="20"/>
      </w:rPr>
      <w:t xml:space="preserve">IFE17 NAT/CZ/000452 LIFE for MIRES </w:t>
    </w:r>
  </w:p>
  <w:p>
    <w:pPr>
      <w:pStyle w:val="Zhlav"/>
      <w:rPr/>
    </w:pPr>
    <w:r>
      <w:rPr/>
    </w:r>
  </w:p>
  <w:p>
    <w:pPr>
      <w:pStyle w:val="Zhlav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Zhlav"/>
      <w:jc w:val="center"/>
      <w:rPr/>
    </w:pPr>
    <w:r>
      <w:drawing>
        <wp:anchor behindDoc="1" distT="0" distB="0" distL="114300" distR="120650" simplePos="0" locked="0" layoutInCell="1" allowOverlap="1" relativeHeight="16">
          <wp:simplePos x="0" y="0"/>
          <wp:positionH relativeFrom="column">
            <wp:posOffset>100330</wp:posOffset>
          </wp:positionH>
          <wp:positionV relativeFrom="paragraph">
            <wp:posOffset>-234315</wp:posOffset>
          </wp:positionV>
          <wp:extent cx="527050" cy="381000"/>
          <wp:effectExtent l="0" t="0" r="0" b="0"/>
          <wp:wrapNone/>
          <wp:docPr id="4" name="Obrázek 3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ázek 3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27050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114300" distR="114300" simplePos="0" locked="0" layoutInCell="1" allowOverlap="1" relativeHeight="17">
          <wp:simplePos x="0" y="0"/>
          <wp:positionH relativeFrom="column">
            <wp:posOffset>5144770</wp:posOffset>
          </wp:positionH>
          <wp:positionV relativeFrom="paragraph">
            <wp:posOffset>-233680</wp:posOffset>
          </wp:positionV>
          <wp:extent cx="553085" cy="381000"/>
          <wp:effectExtent l="0" t="0" r="0" b="0"/>
          <wp:wrapNone/>
          <wp:docPr id="5" name="Obrázek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ek 2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553085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 w:ascii="Arial" w:hAnsi="Arial"/>
        <w:sz w:val="20"/>
        <w:szCs w:val="20"/>
      </w:rPr>
      <w:t>L</w:t>
    </w:r>
    <w:r>
      <w:rPr>
        <w:rFonts w:cs="Arial" w:ascii="Arial" w:hAnsi="Arial"/>
        <w:sz w:val="20"/>
        <w:szCs w:val="20"/>
      </w:rPr>
      <w:t xml:space="preserve">IFE17 NAT/CZ/000452 LIFE for MIRES </w:t>
    </w:r>
  </w:p>
  <w:p>
    <w:pPr>
      <w:pStyle w:val="Zhlav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  <w:sz w:val="22"/>
        <w:rFonts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40"/>
  <w:defaultTabStop w:val="720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cs-CZ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cs-CZ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OdstavecseseznamemChar" w:customStyle="1">
    <w:name w:val="Odstavec se seznamem Char"/>
    <w:link w:val="Odstavecseseznamem"/>
    <w:uiPriority w:val="34"/>
    <w:qFormat/>
    <w:rsid w:val="00b93377"/>
    <w:rPr>
      <w:rFonts w:ascii="Calibri" w:hAnsi="Calibri" w:eastAsia="Times New Roman" w:cs="Times New Roman"/>
      <w:szCs w:val="20"/>
      <w:lang w:eastAsia="cs-CZ"/>
    </w:rPr>
  </w:style>
  <w:style w:type="character" w:styleId="ZhlavChar" w:customStyle="1">
    <w:name w:val="Záhlaví Char"/>
    <w:basedOn w:val="DefaultParagraphFont"/>
    <w:link w:val="Zhlav"/>
    <w:uiPriority w:val="99"/>
    <w:qFormat/>
    <w:rsid w:val="003b7474"/>
    <w:rPr/>
  </w:style>
  <w:style w:type="character" w:styleId="ZpatChar" w:customStyle="1">
    <w:name w:val="Zápatí Char"/>
    <w:basedOn w:val="DefaultParagraphFont"/>
    <w:link w:val="Zpat"/>
    <w:uiPriority w:val="99"/>
    <w:qFormat/>
    <w:rsid w:val="003b7474"/>
    <w:rPr/>
  </w:style>
  <w:style w:type="character" w:styleId="ListLabel1">
    <w:name w:val="ListLabel 1"/>
    <w:qFormat/>
    <w:rPr>
      <w:rFonts w:eastAsia="Calibri" w:cs="Calibri"/>
    </w:rPr>
  </w:style>
  <w:style w:type="character" w:styleId="ListLabel2">
    <w:name w:val="ListLabel 2"/>
    <w:qFormat/>
    <w:rPr>
      <w:rFonts w:cs="Courier New"/>
    </w:rPr>
  </w:style>
  <w:style w:type="character" w:styleId="ListLabel3">
    <w:name w:val="ListLabel 3"/>
    <w:qFormat/>
    <w:rPr>
      <w:rFonts w:cs="Courier New"/>
    </w:rPr>
  </w:style>
  <w:style w:type="character" w:styleId="ListLabel4">
    <w:name w:val="ListLabel 4"/>
    <w:qFormat/>
    <w:rPr>
      <w:rFonts w:cs="Courier New"/>
    </w:rPr>
  </w:style>
  <w:style w:type="character" w:styleId="ListLabel5">
    <w:name w:val="ListLabel 5"/>
    <w:qFormat/>
    <w:rPr>
      <w:rFonts w:cs="Calibri"/>
    </w:rPr>
  </w:style>
  <w:style w:type="character" w:styleId="ListLabel6">
    <w:name w:val="ListLabel 6"/>
    <w:qFormat/>
    <w:rPr>
      <w:rFonts w:cs="Courier New"/>
    </w:rPr>
  </w:style>
  <w:style w:type="character" w:styleId="ListLabel7">
    <w:name w:val="ListLabel 7"/>
    <w:qFormat/>
    <w:rPr>
      <w:rFonts w:cs="Wingdings"/>
    </w:rPr>
  </w:style>
  <w:style w:type="character" w:styleId="ListLabel8">
    <w:name w:val="ListLabel 8"/>
    <w:qFormat/>
    <w:rPr>
      <w:rFonts w:cs="Symbol"/>
    </w:rPr>
  </w:style>
  <w:style w:type="character" w:styleId="ListLabel9">
    <w:name w:val="ListLabel 9"/>
    <w:qFormat/>
    <w:rPr>
      <w:rFonts w:cs="Courier New"/>
    </w:rPr>
  </w:style>
  <w:style w:type="character" w:styleId="ListLabel10">
    <w:name w:val="ListLabel 10"/>
    <w:qFormat/>
    <w:rPr>
      <w:rFonts w:cs="Wingdings"/>
    </w:rPr>
  </w:style>
  <w:style w:type="character" w:styleId="ListLabel11">
    <w:name w:val="ListLabel 11"/>
    <w:qFormat/>
    <w:rPr>
      <w:rFonts w:cs="Symbol"/>
    </w:rPr>
  </w:style>
  <w:style w:type="character" w:styleId="ListLabel12">
    <w:name w:val="ListLabel 12"/>
    <w:qFormat/>
    <w:rPr>
      <w:rFonts w:cs="Courier New"/>
    </w:rPr>
  </w:style>
  <w:style w:type="character" w:styleId="ListLabel13">
    <w:name w:val="ListLabel 13"/>
    <w:qFormat/>
    <w:rPr>
      <w:rFonts w:cs="Wingdings"/>
    </w:rPr>
  </w:style>
  <w:style w:type="character" w:styleId="ListLabel14">
    <w:name w:val="ListLabel 14"/>
    <w:qFormat/>
    <w:rPr>
      <w:rFonts w:cs="Calibri"/>
    </w:rPr>
  </w:style>
  <w:style w:type="character" w:styleId="ListLabel15">
    <w:name w:val="ListLabel 15"/>
    <w:qFormat/>
    <w:rPr>
      <w:rFonts w:cs="Courier New"/>
    </w:rPr>
  </w:style>
  <w:style w:type="character" w:styleId="ListLabel16">
    <w:name w:val="ListLabel 16"/>
    <w:qFormat/>
    <w:rPr>
      <w:rFonts w:cs="Wingdings"/>
    </w:rPr>
  </w:style>
  <w:style w:type="character" w:styleId="ListLabel17">
    <w:name w:val="ListLabel 17"/>
    <w:qFormat/>
    <w:rPr>
      <w:rFonts w:cs="Symbol"/>
    </w:rPr>
  </w:style>
  <w:style w:type="character" w:styleId="ListLabel18">
    <w:name w:val="ListLabel 18"/>
    <w:qFormat/>
    <w:rPr>
      <w:rFonts w:cs="Courier New"/>
    </w:rPr>
  </w:style>
  <w:style w:type="character" w:styleId="ListLabel19">
    <w:name w:val="ListLabel 19"/>
    <w:qFormat/>
    <w:rPr>
      <w:rFonts w:cs="Wingdings"/>
    </w:rPr>
  </w:style>
  <w:style w:type="character" w:styleId="ListLabel20">
    <w:name w:val="ListLabel 20"/>
    <w:qFormat/>
    <w:rPr>
      <w:rFonts w:cs="Symbol"/>
    </w:rPr>
  </w:style>
  <w:style w:type="character" w:styleId="ListLabel21">
    <w:name w:val="ListLabel 21"/>
    <w:qFormat/>
    <w:rPr>
      <w:rFonts w:cs="Courier New"/>
    </w:rPr>
  </w:style>
  <w:style w:type="character" w:styleId="ListLabel22">
    <w:name w:val="ListLabel 22"/>
    <w:qFormat/>
    <w:rPr>
      <w:rFonts w:cs="Wingdings"/>
    </w:rPr>
  </w:style>
  <w:style w:type="character" w:styleId="ListLabel23">
    <w:name w:val="ListLabel 23"/>
    <w:qFormat/>
    <w:rPr>
      <w:rFonts w:cs="Calibri"/>
    </w:rPr>
  </w:style>
  <w:style w:type="character" w:styleId="ListLabel24">
    <w:name w:val="ListLabel 24"/>
    <w:qFormat/>
    <w:rPr>
      <w:rFonts w:cs="Courier New"/>
    </w:rPr>
  </w:style>
  <w:style w:type="character" w:styleId="ListLabel25">
    <w:name w:val="ListLabel 25"/>
    <w:qFormat/>
    <w:rPr>
      <w:rFonts w:cs="Wingdings"/>
    </w:rPr>
  </w:style>
  <w:style w:type="character" w:styleId="ListLabel26">
    <w:name w:val="ListLabel 26"/>
    <w:qFormat/>
    <w:rPr>
      <w:rFonts w:cs="Symbol"/>
    </w:rPr>
  </w:style>
  <w:style w:type="character" w:styleId="ListLabel27">
    <w:name w:val="ListLabel 27"/>
    <w:qFormat/>
    <w:rPr>
      <w:rFonts w:cs="Courier New"/>
    </w:rPr>
  </w:style>
  <w:style w:type="character" w:styleId="ListLabel28">
    <w:name w:val="ListLabel 28"/>
    <w:qFormat/>
    <w:rPr>
      <w:rFonts w:cs="Wingdings"/>
    </w:rPr>
  </w:style>
  <w:style w:type="character" w:styleId="ListLabel29">
    <w:name w:val="ListLabel 29"/>
    <w:qFormat/>
    <w:rPr>
      <w:rFonts w:cs="Symbol"/>
    </w:rPr>
  </w:style>
  <w:style w:type="character" w:styleId="ListLabel30">
    <w:name w:val="ListLabel 30"/>
    <w:qFormat/>
    <w:rPr>
      <w:rFonts w:cs="Courier New"/>
    </w:rPr>
  </w:style>
  <w:style w:type="character" w:styleId="ListLabel31">
    <w:name w:val="ListLabel 31"/>
    <w:qFormat/>
    <w:rPr>
      <w:rFonts w:cs="Wingdings"/>
    </w:rPr>
  </w:style>
  <w:style w:type="character" w:styleId="ListLabel32">
    <w:name w:val="ListLabel 32"/>
    <w:qFormat/>
    <w:rPr>
      <w:rFonts w:cs="Calibri"/>
    </w:rPr>
  </w:style>
  <w:style w:type="character" w:styleId="ListLabel33">
    <w:name w:val="ListLabel 33"/>
    <w:qFormat/>
    <w:rPr>
      <w:rFonts w:cs="Courier New"/>
    </w:rPr>
  </w:style>
  <w:style w:type="character" w:styleId="ListLabel34">
    <w:name w:val="ListLabel 34"/>
    <w:qFormat/>
    <w:rPr>
      <w:rFonts w:cs="Wingdings"/>
    </w:rPr>
  </w:style>
  <w:style w:type="character" w:styleId="ListLabel35">
    <w:name w:val="ListLabel 35"/>
    <w:qFormat/>
    <w:rPr>
      <w:rFonts w:cs="Symbol"/>
    </w:rPr>
  </w:style>
  <w:style w:type="character" w:styleId="ListLabel36">
    <w:name w:val="ListLabel 36"/>
    <w:qFormat/>
    <w:rPr>
      <w:rFonts w:cs="Courier New"/>
    </w:rPr>
  </w:style>
  <w:style w:type="character" w:styleId="ListLabel37">
    <w:name w:val="ListLabel 37"/>
    <w:qFormat/>
    <w:rPr>
      <w:rFonts w:cs="Wingdings"/>
    </w:rPr>
  </w:style>
  <w:style w:type="character" w:styleId="ListLabel38">
    <w:name w:val="ListLabel 38"/>
    <w:qFormat/>
    <w:rPr>
      <w:rFonts w:cs="Symbol"/>
    </w:rPr>
  </w:style>
  <w:style w:type="character" w:styleId="ListLabel39">
    <w:name w:val="ListLabel 39"/>
    <w:qFormat/>
    <w:rPr>
      <w:rFonts w:cs="Courier New"/>
    </w:rPr>
  </w:style>
  <w:style w:type="character" w:styleId="ListLabel40">
    <w:name w:val="ListLabel 40"/>
    <w:qFormat/>
    <w:rPr>
      <w:rFonts w:cs="Wingdings"/>
    </w:rPr>
  </w:style>
  <w:style w:type="character" w:styleId="ListLabel41">
    <w:name w:val="ListLabel 41"/>
    <w:qFormat/>
    <w:rPr>
      <w:rFonts w:ascii="Calibri" w:hAnsi="Calibri" w:cs="Calibri"/>
      <w:sz w:val="22"/>
    </w:rPr>
  </w:style>
  <w:style w:type="character" w:styleId="ListLabel42">
    <w:name w:val="ListLabel 42"/>
    <w:qFormat/>
    <w:rPr>
      <w:rFonts w:cs="Courier New"/>
    </w:rPr>
  </w:style>
  <w:style w:type="character" w:styleId="ListLabel43">
    <w:name w:val="ListLabel 43"/>
    <w:qFormat/>
    <w:rPr>
      <w:rFonts w:cs="Wingdings"/>
    </w:rPr>
  </w:style>
  <w:style w:type="character" w:styleId="ListLabel44">
    <w:name w:val="ListLabel 44"/>
    <w:qFormat/>
    <w:rPr>
      <w:rFonts w:cs="Symbol"/>
    </w:rPr>
  </w:style>
  <w:style w:type="character" w:styleId="ListLabel45">
    <w:name w:val="ListLabel 45"/>
    <w:qFormat/>
    <w:rPr>
      <w:rFonts w:cs="Courier New"/>
    </w:rPr>
  </w:style>
  <w:style w:type="character" w:styleId="ListLabel46">
    <w:name w:val="ListLabel 46"/>
    <w:qFormat/>
    <w:rPr>
      <w:rFonts w:cs="Wingdings"/>
    </w:rPr>
  </w:style>
  <w:style w:type="character" w:styleId="ListLabel47">
    <w:name w:val="ListLabel 47"/>
    <w:qFormat/>
    <w:rPr>
      <w:rFonts w:cs="Symbol"/>
    </w:rPr>
  </w:style>
  <w:style w:type="character" w:styleId="ListLabel48">
    <w:name w:val="ListLabel 48"/>
    <w:qFormat/>
    <w:rPr>
      <w:rFonts w:cs="Courier New"/>
    </w:rPr>
  </w:style>
  <w:style w:type="character" w:styleId="ListLabel49">
    <w:name w:val="ListLabel 49"/>
    <w:qFormat/>
    <w:rPr>
      <w:rFonts w:cs="Wingdings"/>
    </w:rPr>
  </w:style>
  <w:style w:type="character" w:styleId="ListLabel50">
    <w:name w:val="ListLabel 50"/>
    <w:qFormat/>
    <w:rPr>
      <w:rFonts w:ascii="Calibri" w:hAnsi="Calibri" w:cs="Calibri"/>
      <w:sz w:val="22"/>
    </w:rPr>
  </w:style>
  <w:style w:type="character" w:styleId="ListLabel51">
    <w:name w:val="ListLabel 51"/>
    <w:qFormat/>
    <w:rPr>
      <w:rFonts w:cs="Courier New"/>
    </w:rPr>
  </w:style>
  <w:style w:type="character" w:styleId="ListLabel52">
    <w:name w:val="ListLabel 52"/>
    <w:qFormat/>
    <w:rPr>
      <w:rFonts w:cs="Wingdings"/>
    </w:rPr>
  </w:style>
  <w:style w:type="character" w:styleId="ListLabel53">
    <w:name w:val="ListLabel 53"/>
    <w:qFormat/>
    <w:rPr>
      <w:rFonts w:cs="Symbol"/>
    </w:rPr>
  </w:style>
  <w:style w:type="character" w:styleId="ListLabel54">
    <w:name w:val="ListLabel 54"/>
    <w:qFormat/>
    <w:rPr>
      <w:rFonts w:cs="Courier New"/>
    </w:rPr>
  </w:style>
  <w:style w:type="character" w:styleId="ListLabel55">
    <w:name w:val="ListLabel 55"/>
    <w:qFormat/>
    <w:rPr>
      <w:rFonts w:cs="Wingdings"/>
    </w:rPr>
  </w:style>
  <w:style w:type="character" w:styleId="ListLabel56">
    <w:name w:val="ListLabel 56"/>
    <w:qFormat/>
    <w:rPr>
      <w:rFonts w:cs="Symbol"/>
    </w:rPr>
  </w:style>
  <w:style w:type="character" w:styleId="ListLabel57">
    <w:name w:val="ListLabel 57"/>
    <w:qFormat/>
    <w:rPr>
      <w:rFonts w:cs="Courier New"/>
    </w:rPr>
  </w:style>
  <w:style w:type="character" w:styleId="ListLabel58">
    <w:name w:val="ListLabel 58"/>
    <w:qFormat/>
    <w:rPr>
      <w:rFonts w:cs="Wingdings"/>
    </w:rPr>
  </w:style>
  <w:style w:type="paragraph" w:styleId="Nadpis">
    <w:name w:val="Nadpis"/>
    <w:basedOn w:val="Normal"/>
    <w:next w:val="Tlotextu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Tlotextu">
    <w:name w:val="Body Text"/>
    <w:basedOn w:val="Normal"/>
    <w:pPr>
      <w:spacing w:lineRule="auto" w:line="276" w:before="0" w:after="140"/>
    </w:pPr>
    <w:rPr/>
  </w:style>
  <w:style w:type="paragraph" w:styleId="Seznam">
    <w:name w:val="List"/>
    <w:basedOn w:val="Tlotextu"/>
    <w:pPr/>
    <w:rPr>
      <w:rFonts w:cs="Arial Unicode MS"/>
    </w:rPr>
  </w:style>
  <w:style w:type="paragraph" w:styleId="Popisek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cs="Arial Unicode MS"/>
    </w:rPr>
  </w:style>
  <w:style w:type="paragraph" w:styleId="ListParagraph">
    <w:name w:val="List Paragraph"/>
    <w:basedOn w:val="Normal"/>
    <w:link w:val="OdstavecseseznamemChar"/>
    <w:uiPriority w:val="34"/>
    <w:qFormat/>
    <w:rsid w:val="00b93377"/>
    <w:pPr>
      <w:spacing w:lineRule="auto" w:line="240" w:before="0" w:after="0"/>
      <w:ind w:left="720" w:hanging="0"/>
      <w:contextualSpacing/>
      <w:jc w:val="both"/>
    </w:pPr>
    <w:rPr>
      <w:rFonts w:ascii="Calibri" w:hAnsi="Calibri" w:eastAsia="Times New Roman" w:cs="Times New Roman"/>
      <w:szCs w:val="20"/>
      <w:lang w:eastAsia="cs-CZ"/>
    </w:rPr>
  </w:style>
  <w:style w:type="paragraph" w:styleId="Zhlav">
    <w:name w:val="Header"/>
    <w:basedOn w:val="Normal"/>
    <w:link w:val="ZhlavChar"/>
    <w:uiPriority w:val="99"/>
    <w:unhideWhenUsed/>
    <w:rsid w:val="003b7474"/>
    <w:pPr>
      <w:tabs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Zpat">
    <w:name w:val="Footer"/>
    <w:basedOn w:val="Normal"/>
    <w:link w:val="ZpatChar"/>
    <w:uiPriority w:val="99"/>
    <w:unhideWhenUsed/>
    <w:rsid w:val="003b7474"/>
    <w:pPr>
      <w:tabs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Obsahtabulky">
    <w:name w:val="Obsah tabulky"/>
    <w:basedOn w:val="Normal"/>
    <w:qFormat/>
    <w:pPr>
      <w:suppressLineNumbers/>
    </w:pPr>
    <w:rPr/>
  </w:style>
  <w:style w:type="paragraph" w:styleId="Pedformtovantext">
    <w:name w:val="Předformátovaný text"/>
    <w:basedOn w:val="Normal"/>
    <w:qFormat/>
    <w:pPr>
      <w:spacing w:before="0" w:after="0"/>
    </w:pPr>
    <w:rPr>
      <w:rFonts w:ascii="Liberation Mono" w:hAnsi="Liberation Mono" w:eastAsia="Liberation Mono" w:cs="Liberation Mono"/>
      <w:sz w:val="20"/>
      <w:szCs w:val="20"/>
    </w:rPr>
  </w:style>
  <w:style w:type="paragraph" w:styleId="Nadpistabulky">
    <w:name w:val="Nadpis tabulky"/>
    <w:basedOn w:val="Obsahtabulky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2.tif"/><Relationship Id="rId2" Type="http://schemas.openxmlformats.org/officeDocument/2006/relationships/image" Target="media/image3.ti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4.tif"/><Relationship Id="rId2" Type="http://schemas.openxmlformats.org/officeDocument/2006/relationships/image" Target="media/image5.tif"/>
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5426</TotalTime>
  <Application>LibreOffice/6.1.0.3$Windows_X86_64 LibreOffice_project/efb621ed25068d70781dc026f7e9c5187a4decd1</Application>
  <Pages>8</Pages>
  <Words>1973</Words>
  <Characters>10801</Characters>
  <CharactersWithSpaces>12506</CharactersWithSpaces>
  <Paragraphs>347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2021-09-23T15:53:00Z</dcterms:created>
  <dc:creator>Martin Dobeš</dc:creator>
  <dc:description/>
  <dc:language>cs-CZ</dc:language>
  <cp:lastModifiedBy/>
  <dcterms:modified xsi:type="dcterms:W3CDTF">2023-12-15T11:35:53Z</dcterms:modified>
  <cp:revision>47</cp:revision>
  <dc:subject>dur-kanalizace</dc:subject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