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2.xml" ContentType="application/vnd.openxmlformats-officedocument.wordprocessingml.header+xml"/>
  <Override PartName="/word/media/image2.wmf" ContentType="image/x-wmf"/>
  <Override PartName="/word/media/image1.jpeg" ContentType="image/jpeg"/>
  <Override PartName="/word/media/image3.wmf" ContentType="image/x-wmf"/>
  <Override PartName="/word/media/image4.wmf" ContentType="image/x-wmf"/>
  <Override PartName="/word/media/image5.tif" ContentType="image/tiff"/>
  <Override PartName="/word/media/image6.tif" ContentType="image/tiff"/>
  <Override PartName="/word/media/image7.tif" ContentType="image/tiff"/>
  <Override PartName="/word/media/image8.tif" ContentType="image/tiff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center"/>
        <w:rPr>
          <w:b/>
          <w:b/>
          <w:sz w:val="48"/>
          <w:szCs w:val="48"/>
          <w:highlight w:val="yellow"/>
        </w:rPr>
      </w:pPr>
      <w:r>
        <w:rPr>
          <w:b/>
          <w:sz w:val="48"/>
          <w:szCs w:val="48"/>
          <w:highlight w:val="yellow"/>
        </w:rPr>
      </w:r>
    </w:p>
    <w:p>
      <w:pPr>
        <w:pStyle w:val="Normal"/>
        <w:jc w:val="center"/>
        <w:rPr>
          <w:b/>
          <w:b/>
          <w:sz w:val="48"/>
          <w:szCs w:val="48"/>
        </w:rPr>
      </w:pPr>
      <w:r>
        <w:rPr>
          <w:rFonts w:eastAsia="Calibri" w:cs="" w:cstheme="minorBidi" w:eastAsiaTheme="minorHAnsi"/>
          <w:b/>
          <w:sz w:val="48"/>
          <w:szCs w:val="48"/>
        </w:rPr>
        <w:t>Dokumentace skutečného provedení stavby</w:t>
      </w:r>
    </w:p>
    <w:p>
      <w:pPr>
        <w:pStyle w:val="Normal"/>
        <w:jc w:val="center"/>
        <w:rPr>
          <w:b/>
          <w:b/>
          <w:sz w:val="48"/>
          <w:szCs w:val="48"/>
          <w:highlight w:val="yellow"/>
        </w:rPr>
      </w:pPr>
      <w:r>
        <w:rPr>
          <w:b/>
          <w:sz w:val="48"/>
          <w:szCs w:val="48"/>
          <w:highlight w:val="yellow"/>
        </w:rPr>
      </w:r>
    </w:p>
    <w:p>
      <w:pPr>
        <w:pStyle w:val="Normal"/>
        <w:jc w:val="center"/>
        <w:rPr>
          <w:b/>
          <w:b/>
          <w:sz w:val="48"/>
          <w:szCs w:val="48"/>
        </w:rPr>
      </w:pPr>
      <w:r>
        <w:rPr/>
        <w:drawing>
          <wp:inline distT="0" distB="0" distL="0" distR="0">
            <wp:extent cx="5760720" cy="3827780"/>
            <wp:effectExtent l="0" t="0" r="0" b="0"/>
            <wp:docPr id="1" name="Obrázek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4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b/>
          <w:b/>
          <w:sz w:val="48"/>
          <w:szCs w:val="48"/>
          <w:highlight w:val="yellow"/>
        </w:rPr>
      </w:pPr>
      <w:r>
        <w:rPr>
          <w:b/>
          <w:sz w:val="48"/>
          <w:szCs w:val="48"/>
          <w:highlight w:val="yellow"/>
        </w:rPr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  <w:b/>
          <w:sz w:val="48"/>
          <w:szCs w:val="48"/>
        </w:rPr>
        <w:t>Revitalizace lokality Mrtvý Luh</w:t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  <w:b/>
          <w:sz w:val="40"/>
          <w:szCs w:val="40"/>
        </w:rPr>
        <w:t>(k.ú. Volary, Pěkná, České Žleby)</w:t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  <w:b/>
          <w:b/>
          <w:sz w:val="40"/>
          <w:szCs w:val="40"/>
        </w:rPr>
      </w:pPr>
      <w:r>
        <w:rPr>
          <w:rFonts w:eastAsia="Calibri" w:cs="" w:cstheme="minorBidi" w:eastAsiaTheme="minorHAnsi"/>
          <w:b/>
          <w:sz w:val="40"/>
          <w:szCs w:val="40"/>
        </w:rPr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  <w:b/>
          <w:b/>
          <w:sz w:val="40"/>
          <w:szCs w:val="40"/>
        </w:rPr>
      </w:pPr>
      <w:r>
        <w:rPr>
          <w:rFonts w:eastAsia="Calibri" w:cs="" w:cstheme="minorBidi" w:eastAsiaTheme="minorHAnsi"/>
          <w:b/>
          <w:sz w:val="40"/>
          <w:szCs w:val="40"/>
        </w:rPr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  <w:b/>
          <w:b/>
          <w:sz w:val="28"/>
          <w:szCs w:val="28"/>
        </w:rPr>
      </w:pPr>
      <w:r>
        <w:rPr>
          <w:rFonts w:eastAsia="Calibri" w:cs="" w:cstheme="minorBidi" w:eastAsiaTheme="minorHAnsi"/>
          <w:b/>
          <w:sz w:val="28"/>
          <w:szCs w:val="28"/>
        </w:rPr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  <w:b/>
          <w:sz w:val="28"/>
          <w:szCs w:val="28"/>
        </w:rPr>
        <w:t>Prosinec 2023</w:t>
      </w:r>
    </w:p>
    <w:p>
      <w:pPr>
        <w:pStyle w:val="Normal"/>
        <w:rPr>
          <w:b/>
          <w:b/>
        </w:rPr>
      </w:pPr>
      <w:r>
        <w:rPr>
          <w:rFonts w:eastAsia="Calibri" w:cs="" w:cstheme="minorBidi" w:eastAsiaTheme="minorHAnsi"/>
          <w:b/>
        </w:rPr>
        <w:t>Základní údaje: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 xml:space="preserve">Stavba byla realizována v rámci projektu LIFE17 NAT/CZ/000452 LIFE for MIRES „Život pro mokřady“. Cílem je obnova přirozeného vodního režimu, zvýšení retence vody v krajině a zlepšení stavu mokřadních biotopů na lokalitě v minulosti poškozené odvodněním systémem povrchových kanálů. Realizovaná opatření přispěla ke zvýšení hladiny podzemní vody, zpomalení povrchového odtoku druhotnou drenážní sítí a zastavení </w:t>
      </w:r>
      <w:r>
        <w:rPr>
          <w:rFonts w:eastAsia="Calibri" w:cs="" w:cstheme="minorBidi" w:eastAsiaTheme="minorHAnsi"/>
        </w:rPr>
        <w:t>degradace rašeliniště</w:t>
      </w:r>
      <w:r>
        <w:rPr>
          <w:rFonts w:eastAsia="Calibri" w:cs="" w:cstheme="minorBidi" w:eastAsiaTheme="minorHAnsi"/>
        </w:rPr>
        <w:t xml:space="preserve">. </w:t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  <w:b/>
        </w:rPr>
        <w:t xml:space="preserve">Název stavby: </w:t>
        <w:tab/>
        <w:tab/>
      </w:r>
      <w:r>
        <w:rPr>
          <w:rFonts w:eastAsia="Calibri" w:cs="" w:cstheme="minorBidi" w:eastAsiaTheme="minorHAnsi"/>
        </w:rPr>
        <w:t>Revitalizace lokality Mrtvý Luh</w:t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  <w:b/>
        </w:rPr>
        <w:t xml:space="preserve">Místo stavby: </w:t>
        <w:tab/>
        <w:tab/>
      </w:r>
      <w:r>
        <w:rPr>
          <w:rFonts w:eastAsia="Calibri" w:cs="" w:cstheme="minorBidi" w:eastAsiaTheme="minorHAnsi"/>
        </w:rPr>
        <w:t>katastrální území České Žleby; Volary, Pěkná, Chlum u Volar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  <w:b/>
        </w:rPr>
        <w:t>Celková plocha:</w:t>
        <w:tab/>
        <w:t xml:space="preserve">              </w:t>
      </w:r>
      <w:r>
        <w:rPr>
          <w:rFonts w:cs="Calibri" w:cstheme="minorHAnsi"/>
          <w:b w:val="false"/>
          <w:bCs w:val="false"/>
        </w:rPr>
        <w:t>310 000</w:t>
      </w:r>
      <w:r>
        <w:rPr>
          <w:rFonts w:cs="Calibri" w:cstheme="minorHAnsi"/>
          <w:b w:val="false"/>
          <w:bCs w:val="false"/>
          <w:position w:val="0"/>
          <w:sz w:val="22"/>
          <w:sz w:val="22"/>
          <w:vertAlign w:val="baseline"/>
        </w:rPr>
        <w:t xml:space="preserve"> m</w:t>
      </w:r>
      <w:r>
        <w:rPr>
          <w:rFonts w:cs="Calibri" w:cstheme="minorHAnsi"/>
          <w:b w:val="false"/>
          <w:bCs w:val="false"/>
          <w:vertAlign w:val="superscript"/>
        </w:rPr>
        <w:t>2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  <w:b/>
        </w:rPr>
        <w:t>Charakter stavby:</w:t>
      </w:r>
      <w:r>
        <w:rPr>
          <w:rFonts w:cs="Calibri" w:cstheme="minorHAnsi"/>
        </w:rPr>
        <w:t xml:space="preserve"> </w:t>
        <w:tab/>
        <w:t>Revitalizační úprava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  <w:b/>
        </w:rPr>
        <w:t>Investor:</w:t>
      </w:r>
      <w:r>
        <w:rPr>
          <w:rFonts w:cs="Calibri" w:cstheme="minorHAnsi"/>
        </w:rPr>
        <w:t xml:space="preserve"> </w:t>
        <w:tab/>
        <w:tab/>
        <w:t>Správa Národního parku Šumava, 1. máje 260, 385 01 Vimperk</w:t>
      </w:r>
    </w:p>
    <w:p>
      <w:pPr>
        <w:pStyle w:val="Normal"/>
        <w:spacing w:before="0" w:after="0"/>
        <w:rPr>
          <w:rFonts w:cs="Calibri" w:cstheme="minorHAnsi"/>
        </w:rPr>
      </w:pPr>
      <w:r>
        <w:rPr>
          <w:rFonts w:cs="Calibri" w:cstheme="minorHAnsi"/>
          <w:b/>
        </w:rPr>
        <w:t>Projektant:</w:t>
      </w:r>
      <w:r>
        <w:rPr>
          <w:rFonts w:cs="Calibri" w:cstheme="minorHAnsi"/>
        </w:rPr>
        <w:t xml:space="preserve"> </w:t>
        <w:tab/>
        <w:tab/>
        <w:t xml:space="preserve">Martin Dobeš s.r.o., </w:t>
      </w:r>
      <w:r>
        <w:rPr>
          <w:rFonts w:eastAsia="Calibri" w:cs="Calibri" w:cstheme="minorHAnsi"/>
          <w:color w:val="auto"/>
          <w:kern w:val="0"/>
          <w:sz w:val="22"/>
          <w:szCs w:val="22"/>
          <w:lang w:val="cs-CZ" w:eastAsia="en-US" w:bidi="ar-SA"/>
        </w:rPr>
        <w:t>Pod Labuťkou 263/16, 18000 Praha 8</w:t>
      </w:r>
    </w:p>
    <w:p>
      <w:pPr>
        <w:pStyle w:val="Normal"/>
        <w:ind w:left="1416" w:firstLine="708"/>
        <w:rPr>
          <w:rFonts w:cs="Calibri" w:cstheme="minorHAnsi"/>
        </w:rPr>
      </w:pPr>
      <w:r>
        <w:rPr>
          <w:rFonts w:cs="Calibri" w:cstheme="minorHAnsi"/>
        </w:rPr>
        <w:t>Odpovědný projektant: Ing. Martin Dobeš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  <w:b/>
        </w:rPr>
        <w:t>Dodavatel:</w:t>
      </w:r>
      <w:r>
        <w:rPr>
          <w:rFonts w:cs="Calibri" w:cstheme="minorHAnsi"/>
        </w:rPr>
        <w:t xml:space="preserve"> </w:t>
        <w:tab/>
        <w:tab/>
        <w:t>Bones s.r.o., Radiová 1285/7, 102 00 Praha 10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  <w:b/>
        </w:rPr>
        <w:t>Období realizace:</w:t>
      </w:r>
      <w:r>
        <w:rPr>
          <w:rFonts w:cs="Calibri" w:cstheme="minorHAnsi"/>
        </w:rPr>
        <w:t xml:space="preserve"> </w:t>
        <w:tab/>
        <w:t>8/2023 – 9/2023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  <w:b/>
          <w:highlight w:val="yellow"/>
        </w:rPr>
        <w:t>Celková cena:</w:t>
      </w:r>
      <w:r>
        <w:rPr>
          <w:rFonts w:cs="Calibri" w:cstheme="minorHAnsi"/>
          <w:highlight w:val="yellow"/>
        </w:rPr>
        <w:t xml:space="preserve"> </w:t>
        <w:tab/>
        <w:tab/>
      </w:r>
      <w:r>
        <w:rPr>
          <w:rFonts w:eastAsia="Arial" w:cs="Calibri" w:cstheme="minorHAnsi"/>
          <w:b w:val="false"/>
          <w:bCs w:val="false"/>
          <w:sz w:val="22"/>
          <w:highlight w:val="yellow"/>
        </w:rPr>
        <w:t xml:space="preserve"> 442 374,38</w:t>
      </w:r>
      <w:r>
        <w:rPr>
          <w:rFonts w:eastAsia="Arial" w:cs="Calibri" w:cstheme="minorHAnsi"/>
          <w:sz w:val="22"/>
          <w:highlight w:val="yellow"/>
        </w:rPr>
        <w:t xml:space="preserve"> </w:t>
      </w:r>
      <w:r>
        <w:rPr>
          <w:rFonts w:cs="Calibri" w:cstheme="minorHAnsi"/>
          <w:highlight w:val="yellow"/>
        </w:rPr>
        <w:t>Kč (bez DPH)</w:t>
      </w:r>
    </w:p>
    <w:p>
      <w:pPr>
        <w:pStyle w:val="Normal"/>
        <w:rPr>
          <w:rFonts w:cs="Calibri" w:cstheme="minorHAnsi"/>
          <w:b/>
          <w:b/>
        </w:rPr>
      </w:pPr>
      <w:r>
        <w:rPr>
          <w:rFonts w:cs="Calibri" w:cstheme="minorHAnsi"/>
          <w:b/>
        </w:rPr>
        <w:t>Seznam pozemků, na kterých se stavba umisťuje:</w:t>
      </w:r>
      <w:r>
        <w:rPr>
          <w:rFonts w:cs="Calibri" w:cstheme="minorHAnsi"/>
          <w:b/>
          <w:highlight w:val="yellow"/>
        </w:rPr>
        <w:t xml:space="preserve"> </w:t>
      </w:r>
    </w:p>
    <w:p>
      <w:pPr>
        <w:pStyle w:val="Normal"/>
        <w:rPr/>
      </w:pPr>
      <w:r>
        <w:rPr>
          <w:rFonts w:eastAsia="Calibri" w:cs="" w:cstheme="minorBidi" w:eastAsiaTheme="minorHAnsi"/>
          <w:b w:val="false"/>
          <w:bCs w:val="false"/>
          <w:i/>
          <w:iCs/>
        </w:rPr>
        <w:t>Viz příloha.</w:t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  <w:b/>
        </w:rPr>
        <w:t>Technická zpráva:</w:t>
      </w:r>
    </w:p>
    <w:p>
      <w:pPr>
        <w:pStyle w:val="Normal"/>
        <w:rPr>
          <w:highlight w:val="yellow"/>
        </w:rPr>
      </w:pPr>
      <w:r>
        <w:rPr>
          <w:rFonts w:cs="Calibri"/>
        </w:rPr>
        <w:t xml:space="preserve">V průběhu výstavby došlo k určitým úpravám oproti projektové dokumentaci. Jde o snížení počtu hrází. V původním projektu bylo kalkulováno s 67 ks hrází, ve skutečnosti bylo postaveno 65 ks hrází. V několika případech došlo k posunu polohy hrází s ohledem na situaci v terénu. Nebyl řešen kanál A1 (spodní úsek kanálu A), protože je velmi rozplavený a k jeho zablokování efekticně posloužily hráze na kanálu A. Nebyl řešen kanál C2 z důvodu extrémní transportní vzdálenosti, ale byl nahrazen kanálem C8 v jihovýchodní části rašeliniště. Přesná poloha hrází a řešených kanálů je zahrnuta v Zaměření skutečného provedení stavby, které je přílohou této zprávy. </w:t>
      </w:r>
      <w:r>
        <w:rPr>
          <w:rFonts w:eastAsia="Calibri" w:cs="Calibri" w:eastAsiaTheme="minorHAnsi"/>
        </w:rPr>
        <w:t xml:space="preserve"> 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V místě stavby je 6 toků evidovaných v CEVT. Ve všech případech se nejedná o vodní tok, ale o umělý kanál – historické odvodnění rašeliniště. Čtyři z nich byly v rámci stavby zablokovány, dva nebyly řešeny a v terénu nejsou vůbec patrné. Navrhujeme jejich zrušení v evidenci pro neexistenci.</w:t>
      </w:r>
    </w:p>
    <w:p>
      <w:pPr>
        <w:pStyle w:val="Normal"/>
        <w:jc w:val="both"/>
        <w:rPr>
          <w:highlight w:val="yellow"/>
        </w:rPr>
      </w:pPr>
      <w:r>
        <w:rPr>
          <w:highlight w:val="yellow"/>
        </w:rPr>
      </w:r>
    </w:p>
    <w:tbl>
      <w:tblPr>
        <w:tblW w:w="9638" w:type="dxa"/>
        <w:jc w:val="lef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top w:w="55" w:type="dxa"/>
          <w:left w:w="50" w:type="dxa"/>
          <w:bottom w:w="55" w:type="dxa"/>
          <w:right w:w="55" w:type="dxa"/>
        </w:tblCellMar>
      </w:tblPr>
      <w:tblGrid>
        <w:gridCol w:w="1224"/>
        <w:gridCol w:w="2316"/>
        <w:gridCol w:w="6098"/>
      </w:tblGrid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B4C7DC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b/>
                <w:bCs/>
                <w:i w:val="false"/>
                <w:iCs w:val="false"/>
                <w:strike w:val="false"/>
                <w:dstrike w:val="false"/>
                <w:outline w:val="false"/>
                <w:shadow w:val="false"/>
                <w:color w:val="000000"/>
                <w:sz w:val="22"/>
                <w:szCs w:val="22"/>
                <w:u w:val="none"/>
              </w:rPr>
              <w:t>IDVT, typ vodoteče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B4C7DC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b/>
                <w:bCs/>
                <w:i w:val="false"/>
                <w:iCs w:val="false"/>
                <w:strike w:val="false"/>
                <w:dstrike w:val="false"/>
                <w:outline w:val="false"/>
                <w:shadow w:val="false"/>
                <w:color w:val="000000"/>
                <w:sz w:val="22"/>
                <w:szCs w:val="22"/>
                <w:u w:val="none"/>
              </w:rPr>
              <w:t>Označení v PD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B4C7DC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>
                <w:b/>
                <w:bCs/>
                <w:i w:val="false"/>
                <w:iCs w:val="false"/>
                <w:strike w:val="false"/>
                <w:dstrike w:val="false"/>
                <w:outline w:val="false"/>
                <w:shadow w:val="false"/>
                <w:color w:val="000000"/>
                <w:sz w:val="22"/>
                <w:szCs w:val="22"/>
                <w:u w:val="none"/>
              </w:rPr>
              <w:t>Technické řešení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10255207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A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 xml:space="preserve">Odvodňovací kanál umělý. Zrušen, zablokován dřevěnými hrázkami a zásypem. </w:t>
            </w:r>
            <w:bookmarkStart w:id="0" w:name="__DdeLink__6795_1943405321"/>
            <w:r>
              <w:rPr/>
              <w:t>V evidenci zrušit.</w:t>
            </w:r>
            <w:bookmarkEnd w:id="0"/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10264436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A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Odvodňovací kanál umělý. Zrušen, zablokován dřevěnými hrázkami a zásypem. V evidenci zrušit.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10245278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Odvodňovací kanál umělý. Zrušen, zablokován dřevěnými hrázkami a zásypem. V evidenci zrušit.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10267393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D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Odvodňovací kanál umělý. Zrušen, zablokován dřevěnými hrázkami a zásypem. V evidenci zrušit.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10244077, 10281269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Neexistující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V terénu nezřetelné. V evidenci zrušit.</w:t>
            </w:r>
          </w:p>
        </w:tc>
      </w:tr>
    </w:tbl>
    <w:p>
      <w:pPr>
        <w:pStyle w:val="Normal"/>
        <w:jc w:val="both"/>
        <w:rPr>
          <w:highlight w:val="yellow"/>
        </w:rPr>
      </w:pPr>
      <w:r>
        <w:rPr>
          <w:highlight w:val="yellow"/>
        </w:rPr>
      </w:r>
    </w:p>
    <w:p>
      <w:pPr>
        <w:pStyle w:val="Normal"/>
        <w:rPr/>
      </w:pPr>
      <w:r>
        <w:rPr/>
        <w:t>Při stavbě byla v souladu s projektovou dokumentací realizována následující opatření, technické řešení jednotlivých opatření odpovídá popisu a vzorovým výkresům ve schválené projektové dokumetaci:</w:t>
      </w:r>
    </w:p>
    <w:p>
      <w:pPr>
        <w:pStyle w:val="ListParagraph"/>
        <w:numPr>
          <w:ilvl w:val="0"/>
          <w:numId w:val="1"/>
        </w:numPr>
        <w:spacing w:lineRule="auto" w:line="276"/>
        <w:rPr/>
      </w:pPr>
      <w:r>
        <w:rPr/>
        <w:t xml:space="preserve">Přehrazení – Typ B – zemní hrázka s jednou stěnou z prken </w:t>
      </w:r>
    </w:p>
    <w:p>
      <w:pPr>
        <w:pStyle w:val="ListParagraph"/>
        <w:numPr>
          <w:ilvl w:val="0"/>
          <w:numId w:val="1"/>
        </w:numPr>
        <w:spacing w:lineRule="auto" w:line="276"/>
        <w:rPr/>
      </w:pPr>
      <w:r>
        <w:rPr/>
        <w:t>Přehrazení – Typ</w:t>
      </w:r>
      <w:r>
        <w:rPr>
          <w:rFonts w:cs="Calibri"/>
          <w:color w:val="000000"/>
          <w:szCs w:val="22"/>
        </w:rPr>
        <w:t xml:space="preserve"> C– zemní</w:t>
      </w:r>
      <w:r>
        <w:rPr/>
        <w:t xml:space="preserve"> hrázka s jednou stěnou ze svisle zarážených fošen</w:t>
      </w:r>
    </w:p>
    <w:p>
      <w:pPr>
        <w:pStyle w:val="ListParagraph"/>
        <w:spacing w:lineRule="auto" w:line="276"/>
        <w:ind w:left="720" w:hanging="0"/>
        <w:rPr>
          <w:highlight w:val="yellow"/>
        </w:rPr>
      </w:pPr>
      <w:r>
        <w:rPr>
          <w:highlight w:val="yellow"/>
        </w:rPr>
      </w:r>
    </w:p>
    <w:p>
      <w:pPr>
        <w:pStyle w:val="Normal"/>
        <w:rPr/>
      </w:pPr>
      <w:r>
        <w:rPr/>
        <w:t>Počty hrází instalované na jednotlivých odvodňovacích kanálech a jejich změny oproti projektové dokumentaci jsou uvedeny v následující tabulce.</w:t>
      </w:r>
    </w:p>
    <w:tbl>
      <w:tblPr>
        <w:tblW w:w="8784" w:type="dxa"/>
        <w:jc w:val="left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0" w:type="dxa"/>
          <w:left w:w="65" w:type="dxa"/>
          <w:bottom w:w="0" w:type="dxa"/>
          <w:right w:w="70" w:type="dxa"/>
        </w:tblCellMar>
        <w:tblLook w:firstRow="1" w:noVBand="1" w:lastRow="0" w:firstColumn="1" w:lastColumn="0" w:noHBand="0" w:val="04a0"/>
      </w:tblPr>
      <w:tblGrid>
        <w:gridCol w:w="1060"/>
        <w:gridCol w:w="1220"/>
        <w:gridCol w:w="1360"/>
        <w:gridCol w:w="2144"/>
        <w:gridCol w:w="3000"/>
      </w:tblGrid>
      <w:tr>
        <w:trPr>
          <w:trHeight w:val="816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b/>
                <w:bCs/>
                <w:color w:val="000000"/>
                <w:szCs w:val="22"/>
              </w:rPr>
              <w:t>Označení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b/>
                <w:bCs/>
                <w:color w:val="000000"/>
                <w:szCs w:val="22"/>
              </w:rPr>
              <w:t>Celková délka (m)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b/>
                <w:bCs/>
                <w:color w:val="000000"/>
                <w:szCs w:val="22"/>
              </w:rPr>
              <w:t>Navržené přehrádky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b/>
                <w:bCs/>
                <w:color w:val="000000"/>
                <w:szCs w:val="22"/>
              </w:rPr>
              <w:t>Realizované přehrádky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b/>
                <w:bCs/>
                <w:color w:val="000000"/>
                <w:szCs w:val="22"/>
              </w:rPr>
              <w:t>Poznámka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1027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10 x C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10xC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433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4xC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0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  <w:t>Neřešen, rozplaveno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B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537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9xC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9xC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71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3xC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3xC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C1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26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2xB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2xC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C2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23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2xB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0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  <w:t>Neřešen, velká vzdálenost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C3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28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2xB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2xB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C4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18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2xB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2xB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C5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18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2xB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2xB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C6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2xB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2xB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C7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14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2xB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2xB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C8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23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0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1xB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  <w:t>Přidán, náhrada za C2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D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173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2xB, 2xC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4xC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D1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56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2xC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2xC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E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192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4xB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6xB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F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1298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17xB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18xB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</w:tr>
    </w:tbl>
    <w:p>
      <w:pPr>
        <w:pStyle w:val="Normal"/>
        <w:rPr>
          <w:rFonts w:cs="Calibri" w:cstheme="minorHAnsi"/>
          <w:b/>
          <w:b/>
        </w:rPr>
      </w:pPr>
      <w:r>
        <w:rPr>
          <w:rFonts w:cs="Calibri" w:cstheme="minorHAnsi"/>
          <w:b/>
        </w:rPr>
      </w:r>
    </w:p>
    <w:p>
      <w:pPr>
        <w:pStyle w:val="Normal"/>
        <w:rPr>
          <w:b/>
          <w:b/>
          <w:highlight w:val="yellow"/>
        </w:rPr>
      </w:pPr>
      <w:r>
        <w:rPr>
          <w:b/>
          <w:highlight w:val="yellow"/>
        </w:rPr>
      </w:r>
    </w:p>
    <w:tbl>
      <w:tblPr>
        <w:tblW w:w="9071" w:type="dxa"/>
        <w:jc w:val="left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0" w:type="dxa"/>
          <w:left w:w="65" w:type="dxa"/>
          <w:bottom w:w="0" w:type="dxa"/>
          <w:right w:w="70" w:type="dxa"/>
        </w:tblCellMar>
        <w:tblLook w:firstRow="1" w:noVBand="1" w:lastRow="0" w:firstColumn="1" w:lastColumn="0" w:noHBand="0" w:val="04a0"/>
      </w:tblPr>
      <w:tblGrid>
        <w:gridCol w:w="5665"/>
        <w:gridCol w:w="1472"/>
        <w:gridCol w:w="1934"/>
      </w:tblGrid>
      <w:tr>
        <w:trPr>
          <w:trHeight w:val="660" w:hRule="atLeast"/>
        </w:trPr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eastAsia="Times New Roman" w:cs="Calibri" w:cstheme="minorHAnsi"/>
                <w:b/>
                <w:bCs/>
                <w:color w:val="000000"/>
                <w:lang w:eastAsia="cs-CZ"/>
              </w:rPr>
              <w:t>Typ opatření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lineRule="auto" w:line="240" w:before="0" w:after="0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b/>
                <w:bCs/>
                <w:color w:val="000000"/>
                <w:lang w:eastAsia="cs-CZ"/>
              </w:rPr>
              <w:t xml:space="preserve">Navrženo </w:t>
            </w:r>
          </w:p>
          <w:p>
            <w:pPr>
              <w:pStyle w:val="Normal"/>
              <w:spacing w:lineRule="auto" w:line="240" w:before="0" w:after="0"/>
              <w:rPr>
                <w:rFonts w:eastAsia="Times New Roman" w:cs="Calibri" w:cstheme="minorHAnsi"/>
                <w:bCs/>
                <w:color w:val="000000"/>
                <w:lang w:eastAsia="cs-CZ"/>
              </w:rPr>
            </w:pPr>
            <w:r>
              <w:rPr>
                <w:rFonts w:eastAsia="Times New Roman" w:cs="Calibri" w:cstheme="minorHAnsi"/>
                <w:bCs/>
                <w:color w:val="000000"/>
                <w:lang w:eastAsia="cs-CZ"/>
              </w:rPr>
            </w:r>
          </w:p>
        </w:tc>
        <w:tc>
          <w:tcPr>
            <w:tcW w:w="1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lineRule="auto" w:line="240" w:before="0" w:after="0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b/>
                <w:bCs/>
                <w:color w:val="000000"/>
                <w:lang w:eastAsia="cs-CZ"/>
              </w:rPr>
              <w:t>Realizováno</w:t>
            </w:r>
          </w:p>
          <w:p>
            <w:pPr>
              <w:pStyle w:val="Normal"/>
              <w:spacing w:lineRule="auto" w:line="240" w:before="0" w:after="0"/>
              <w:rPr>
                <w:rFonts w:eastAsia="Times New Roman" w:cs="Calibri" w:cstheme="minorHAnsi"/>
                <w:b/>
                <w:b/>
                <w:bCs/>
                <w:color w:val="000000"/>
                <w:lang w:eastAsia="cs-CZ"/>
              </w:rPr>
            </w:pPr>
            <w:r>
              <w:rPr>
                <w:rFonts w:eastAsia="Times New Roman" w:cs="Calibri" w:cstheme="minorHAnsi"/>
                <w:b/>
                <w:bCs/>
                <w:color w:val="000000"/>
                <w:lang w:eastAsia="cs-CZ"/>
              </w:rPr>
            </w:r>
          </w:p>
        </w:tc>
      </w:tr>
      <w:tr>
        <w:trPr>
          <w:trHeight w:val="324" w:hRule="atLeast"/>
        </w:trPr>
        <w:tc>
          <w:tcPr>
            <w:tcW w:w="5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zablokování povrchových odvodňovacích kanálů (délka v m)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eastAsia="Times New Roman" w:cs="Calibri"/>
                <w:color w:val="000000"/>
                <w:szCs w:val="22"/>
                <w:lang w:eastAsia="cs-CZ"/>
              </w:rPr>
              <w:t>3 933</w:t>
            </w:r>
            <w:r>
              <w:rPr>
                <w:rFonts w:eastAsia="Times New Roman" w:cs="Calibri" w:cstheme="minorHAnsi"/>
                <w:color w:val="000000"/>
                <w:lang w:eastAsia="cs-CZ"/>
              </w:rPr>
              <w:t xml:space="preserve"> m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eastAsia="Times New Roman" w:cs="Calibri"/>
                <w:color w:val="000000"/>
                <w:lang w:eastAsia="cs-CZ"/>
              </w:rPr>
              <w:t>3 500</w:t>
            </w:r>
            <w:bookmarkStart w:id="1" w:name="__DdeLink__2299_2672210270"/>
            <w:r>
              <w:rPr>
                <w:rFonts w:eastAsia="Times New Roman" w:cs="Calibri"/>
                <w:color w:val="000000"/>
                <w:lang w:eastAsia="cs-CZ"/>
              </w:rPr>
              <w:t xml:space="preserve"> </w:t>
            </w:r>
            <w:bookmarkEnd w:id="1"/>
            <w:r>
              <w:rPr>
                <w:rFonts w:eastAsia="Times New Roman" w:cs="Calibri"/>
                <w:color w:val="000000"/>
                <w:lang w:eastAsia="cs-CZ"/>
              </w:rPr>
              <w:t>m</w:t>
            </w:r>
          </w:p>
        </w:tc>
      </w:tr>
      <w:tr>
        <w:trPr>
          <w:trHeight w:val="636" w:hRule="atLeast"/>
        </w:trPr>
        <w:tc>
          <w:tcPr>
            <w:tcW w:w="5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přehrazení typ B+E (prkna, kulatina)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37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35</w:t>
            </w:r>
          </w:p>
        </w:tc>
      </w:tr>
      <w:tr>
        <w:trPr>
          <w:trHeight w:val="636" w:hRule="atLeast"/>
        </w:trPr>
        <w:tc>
          <w:tcPr>
            <w:tcW w:w="5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přehrazení typ C (fošny)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30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30</w:t>
            </w:r>
          </w:p>
        </w:tc>
      </w:tr>
    </w:tbl>
    <w:p>
      <w:pPr>
        <w:pStyle w:val="Normal"/>
        <w:jc w:val="both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</w:rPr>
      </w:pPr>
      <w:r>
        <w:rPr>
          <w:rFonts w:eastAsia="Calibri" w:cs="" w:cstheme="minorBidi" w:eastAsiaTheme="minorHAnsi"/>
          <w:b w:val="false"/>
          <w:bCs w:val="false"/>
        </w:rPr>
      </w:r>
    </w:p>
    <w:p>
      <w:pPr>
        <w:pStyle w:val="Normal"/>
        <w:jc w:val="both"/>
        <w:rPr>
          <w:rFonts w:eastAsia="Calibri" w:cs=""/>
          <w:b/>
          <w:b/>
        </w:rPr>
      </w:pPr>
      <w:r>
        <w:rPr>
          <w:rFonts w:eastAsia="Calibri" w:cs=""/>
          <w:b/>
        </w:rPr>
      </w:r>
    </w:p>
    <w:p>
      <w:pPr>
        <w:pStyle w:val="Normal"/>
        <w:jc w:val="both"/>
        <w:rPr>
          <w:rFonts w:eastAsia="Calibri" w:cs=""/>
          <w:b/>
          <w:b/>
        </w:rPr>
      </w:pPr>
      <w:r>
        <w:rPr>
          <w:rFonts w:eastAsia="Calibri" w:cs=""/>
          <w:b/>
        </w:rPr>
      </w:r>
    </w:p>
    <w:p>
      <w:pPr>
        <w:pStyle w:val="Normal"/>
        <w:jc w:val="both"/>
        <w:rPr>
          <w:rFonts w:eastAsia="Calibri" w:cs=""/>
          <w:b/>
          <w:b/>
        </w:rPr>
      </w:pPr>
      <w:r>
        <w:rPr>
          <w:rFonts w:eastAsia="Calibri" w:cs=""/>
          <w:b/>
        </w:rPr>
      </w:r>
    </w:p>
    <w:p>
      <w:pPr>
        <w:pStyle w:val="Normal"/>
        <w:jc w:val="both"/>
        <w:rPr>
          <w:b/>
          <w:b/>
        </w:rPr>
      </w:pPr>
      <w:r>
        <w:rPr>
          <w:rFonts w:eastAsia="Calibri" w:cs="" w:cstheme="minorBidi" w:eastAsiaTheme="minorHAnsi"/>
          <w:b/>
        </w:rPr>
        <w:t>Závěr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  <w:t>Revitalizace Mrtvého luhu zahrnovala zablokování 3 500 m povrchových kanálů. Šlo jednak o úseky obvodového kanálu (A), odvodnění bývalé cesty od Chlumu k Černému Kříži (F), menší kanály v rašelině napříč luhem (D, B) a krátké odlehčovací kanály vedoucí k řece (C1-C8). Celkově došlo k jen malým úpravám projektu. Přesnou polohu a počet hrází zachycuje Zaměření skutečného provedení stavby, které je přílohou zprávy.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  <w:t xml:space="preserve">Revitalizace byla provedena výhradně ručně a to včetně transportu materiálu. Většina kanálů (s výjimkou kanálu A a některých úseků dalších kanálů) byla spíše mělká a často zarůstající vegetací. To usnadnilo provedení stavby. Všechny hráze byly obsypány zeminou. Došlo rovněž k dílčímu vyplnění kanálů drny a volně ležícími větvemi i kmeny. 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  <w:t>Celá lokalita má velmi malý spád, což usnadňuje stavbu – hráze mohou být provedeny ve velkém sponu a přesto dojde k žádoucímu zvýšení hladiny podzemní vody v celé délce. V případě největšího kanálu A je to zvlášť patrné. Právě tento kanál silně odvodňoval západní okraj rašeliniště a v terénu jsou patrné stopy po ruční těžbě rašeliny. Postavení hrází zabrání další degradaci a zrychlenému odtoku vody. Vzhledem k rozsahu rašeliniště (přes 300 ha) je zde značná šance na regeneraci a obnovu pozvolného klesání okraje rašeliniště (nyní je zde na mnoha úsecích ostrá, uměle vytvořená hrana). Tento proces je možné podpořit a urychlit vyplněním mezilehlých úseků kanálu drny a volně ležícími kmeny a větvemi. To bude předmětem dobrovolnických akcí na této lokalitě.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Obnovu rašelinné vegetace podpoří také vyrýpávání drnů s expanzivním bezkolencem v blízkosti kanálů. Drny poslouží k ucpání kanálů nebo zesílení obsypu hrází. Mělké sníženiny po vyrýpnutých drnech spontánně zaplaví voda (obvyklá výška hladiny podzemní vody je zde do 5 cm pod povrchem) a obnaženou půdu snadno obsadí rašeliníky. To lze podpořit přesunem trsů rašeliníků do vytvořených sníženin.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  <w:t xml:space="preserve">V průběhu stavebních prací byl minimalizován negativní vliv na přírodní prostředí a předměty ochrany Národního parku Šumava, byly dodrženy všechny požadavky a podmínky stanovené dotčenými orgány. Dohled nad dodržování všech opatření zajišťovali pracovníci Správy Národního parku Šumava přímo v terénu v průběhu prací. 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Stavba byla realizována v srpnu a září 2023, tedy v období nejméně rizikovém pro zvláště chráněné druhy živočichů, zejména tetřeva hlušce a tetřívka obecného. Krátké období realizace minimalizovalo hluk a dotčení zvláště chráněných druhů živočichů. Celá stavba byla prováděna výhradně ručně, jedinou použitou technikou byla motorová pila (pro krácení prken a fošen). Nedošlo k žádnému kácení stromů kvůli stavbě, pouze zcela lokálně byly odstraněny větve nebo části keřů kvůli přístupnosti. Dotčené pozemky byly po ukončení stavby uvedeny do původního stavu. Po dobu stavby nedošlo k havárii.</w:t>
      </w:r>
      <w:r>
        <w:rPr/>
        <w:t xml:space="preserve"> 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  <w:b/>
        </w:rPr>
        <w:t>Přílohy: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Zaměření skutečného provedení stavby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Foto</w:t>
      </w:r>
      <w:bookmarkStart w:id="2" w:name="_GoBack"/>
      <w:bookmarkEnd w:id="2"/>
      <w:r>
        <w:rPr>
          <w:rFonts w:eastAsia="Calibri" w:cs="" w:cstheme="minorBidi" w:eastAsiaTheme="minorHAnsi"/>
        </w:rPr>
        <w:t>dokumentace</w:t>
      </w:r>
    </w:p>
    <w:p>
      <w:pPr>
        <w:pStyle w:val="Normal"/>
        <w:jc w:val="both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</w:rPr>
        <w:t>Seznam pozemků, na nichž se stavba umisťuje:</w:t>
      </w:r>
    </w:p>
    <w:p>
      <w:pPr>
        <w:pStyle w:val="Normal"/>
        <w:spacing w:before="0" w:after="200"/>
        <w:rPr/>
      </w:pPr>
      <w:r>
        <w:rPr/>
        <w:drawing>
          <wp:inline distT="0" distB="0" distL="0" distR="0">
            <wp:extent cx="6294755" cy="4603115"/>
            <wp:effectExtent l="0" t="0" r="0" b="0"/>
            <wp:docPr id="2" name="Obrázek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460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6294755" cy="2581275"/>
            <wp:effectExtent l="0" t="0" r="0" b="0"/>
            <wp:docPr id="3" name="Obrázek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6294755" cy="2286635"/>
            <wp:effectExtent l="0" t="0" r="0" b="0"/>
            <wp:docPr id="4" name="Obrázek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default" r:id="rId6"/>
      <w:headerReference w:type="first" r:id="rId7"/>
      <w:footerReference w:type="default" r:id="rId8"/>
      <w:type w:val="nextPage"/>
      <w:pgSz w:w="11906" w:h="16838"/>
      <w:pgMar w:left="1417" w:right="1417" w:header="708" w:top="1417" w:footer="708" w:bottom="1417" w:gutter="0"/>
      <w:pgNumType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Calibri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MT">
    <w:charset w:val="ee"/>
    <w:family w:val="roman"/>
    <w:pitch w:val="variable"/>
  </w:font>
  <w:font w:name="Arial">
    <w:charset w:val="ee"/>
    <w:family w:val="roman"/>
    <w:pitch w:val="variable"/>
  </w:font>
  <w:font w:name="Calibri">
    <w:charset w:val="01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sdt>
    <w:sdtPr>
      <w:docPartObj>
        <w:docPartGallery w:val="Page Numbers (Bottom of Page)"/>
        <w:docPartUnique w:val="true"/>
      </w:docPartObj>
      <w:id w:val="715620933"/>
    </w:sdtPr>
    <w:sdtContent>
      <w:p>
        <w:pPr>
          <w:pStyle w:val="Zpat"/>
          <w:jc w:val="right"/>
          <w:rPr/>
        </w:pPr>
        <w:r>
          <w:rPr/>
          <w:fldChar w:fldCharType="begin"/>
        </w:r>
        <w:r>
          <w:rPr/>
          <w:instrText> PAGE </w:instrText>
        </w:r>
        <w:r>
          <w:rPr/>
          <w:fldChar w:fldCharType="separate"/>
        </w:r>
        <w:r>
          <w:rPr/>
          <w:t>7</w:t>
        </w:r>
        <w:r>
          <w:rPr/>
          <w:fldChar w:fldCharType="end"/>
        </w:r>
      </w:p>
    </w:sdtContent>
  </w:sdt>
  <w:p>
    <w:pPr>
      <w:pStyle w:val="Zpa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Zhlav"/>
      <w:jc w:val="center"/>
      <w:rPr/>
    </w:pPr>
    <w:r>
      <w:drawing>
        <wp:anchor behindDoc="1" distT="0" distB="0" distL="114300" distR="120650" simplePos="0" locked="0" layoutInCell="1" allowOverlap="1" relativeHeight="7">
          <wp:simplePos x="0" y="0"/>
          <wp:positionH relativeFrom="column">
            <wp:posOffset>100330</wp:posOffset>
          </wp:positionH>
          <wp:positionV relativeFrom="paragraph">
            <wp:posOffset>-234315</wp:posOffset>
          </wp:positionV>
          <wp:extent cx="527050" cy="381000"/>
          <wp:effectExtent l="0" t="0" r="0" b="0"/>
          <wp:wrapNone/>
          <wp:docPr id="5" name="Obrázek 22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ázek 22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27050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w:drawing>
        <wp:anchor behindDoc="1" distT="0" distB="0" distL="114300" distR="114300" simplePos="0" locked="0" layoutInCell="1" allowOverlap="1" relativeHeight="13">
          <wp:simplePos x="0" y="0"/>
          <wp:positionH relativeFrom="column">
            <wp:posOffset>5144770</wp:posOffset>
          </wp:positionH>
          <wp:positionV relativeFrom="paragraph">
            <wp:posOffset>-233680</wp:posOffset>
          </wp:positionV>
          <wp:extent cx="553085" cy="381000"/>
          <wp:effectExtent l="0" t="0" r="0" b="0"/>
          <wp:wrapNone/>
          <wp:docPr id="6" name="Obrázek 22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Obrázek 222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553085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cs="Arial" w:ascii="Arial" w:hAnsi="Arial"/>
        <w:sz w:val="20"/>
        <w:szCs w:val="20"/>
      </w:rPr>
      <w:t>L</w:t>
    </w:r>
    <w:r>
      <w:rPr>
        <w:rFonts w:cs="Arial" w:ascii="Arial" w:hAnsi="Arial"/>
        <w:sz w:val="20"/>
        <w:szCs w:val="20"/>
      </w:rPr>
      <w:t xml:space="preserve">IFE17 NAT/CZ/000452 LIFE for MIRES </w:t>
    </w:r>
  </w:p>
  <w:p>
    <w:pPr>
      <w:pStyle w:val="Zhlav"/>
      <w:rPr/>
    </w:pPr>
    <w:r>
      <w:rPr/>
    </w:r>
  </w:p>
  <w:p>
    <w:pPr>
      <w:pStyle w:val="Zhlav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Zhlav"/>
      <w:jc w:val="center"/>
      <w:rPr/>
    </w:pPr>
    <w:r>
      <w:drawing>
        <wp:anchor behindDoc="1" distT="0" distB="0" distL="114300" distR="120650" simplePos="0" locked="0" layoutInCell="1" allowOverlap="1" relativeHeight="14">
          <wp:simplePos x="0" y="0"/>
          <wp:positionH relativeFrom="column">
            <wp:posOffset>100330</wp:posOffset>
          </wp:positionH>
          <wp:positionV relativeFrom="paragraph">
            <wp:posOffset>-234315</wp:posOffset>
          </wp:positionV>
          <wp:extent cx="527050" cy="381000"/>
          <wp:effectExtent l="0" t="0" r="0" b="0"/>
          <wp:wrapNone/>
          <wp:docPr id="7" name="Obrázek 3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ázek 3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27050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w:drawing>
        <wp:anchor behindDoc="1" distT="0" distB="0" distL="114300" distR="114300" simplePos="0" locked="0" layoutInCell="1" allowOverlap="1" relativeHeight="15">
          <wp:simplePos x="0" y="0"/>
          <wp:positionH relativeFrom="column">
            <wp:posOffset>5144770</wp:posOffset>
          </wp:positionH>
          <wp:positionV relativeFrom="paragraph">
            <wp:posOffset>-233680</wp:posOffset>
          </wp:positionV>
          <wp:extent cx="553085" cy="381000"/>
          <wp:effectExtent l="0" t="0" r="0" b="0"/>
          <wp:wrapNone/>
          <wp:docPr id="8" name="Obrázek 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ázek 2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553085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cs="Arial" w:ascii="Arial" w:hAnsi="Arial"/>
        <w:sz w:val="20"/>
        <w:szCs w:val="20"/>
      </w:rPr>
      <w:t>L</w:t>
    </w:r>
    <w:r>
      <w:rPr>
        <w:rFonts w:cs="Arial" w:ascii="Arial" w:hAnsi="Arial"/>
        <w:sz w:val="20"/>
        <w:szCs w:val="20"/>
      </w:rPr>
      <w:t xml:space="preserve">IFE17 NAT/CZ/000452 LIFE for MIRES </w:t>
    </w:r>
  </w:p>
  <w:p>
    <w:pPr>
      <w:pStyle w:val="Zhlav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rFonts w:ascii="Calibri" w:hAnsi="Calibri" w:cs="Calibri" w:hint="default"/>
        <w:rFonts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  <w:rFonts w:cs="Wingdings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40"/>
  <w:defaultTabStop w:val="720"/>
  <w:compat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cs-CZ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cs-CZ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OdstavecseseznamemChar" w:customStyle="1">
    <w:name w:val="Odstavec se seznamem Char"/>
    <w:link w:val="Odstavecseseznamem"/>
    <w:uiPriority w:val="34"/>
    <w:qFormat/>
    <w:rsid w:val="00b93377"/>
    <w:rPr>
      <w:rFonts w:ascii="Calibri" w:hAnsi="Calibri" w:eastAsia="Times New Roman" w:cs="Times New Roman"/>
      <w:szCs w:val="20"/>
      <w:lang w:eastAsia="cs-CZ"/>
    </w:rPr>
  </w:style>
  <w:style w:type="character" w:styleId="ZhlavChar" w:customStyle="1">
    <w:name w:val="Záhlaví Char"/>
    <w:basedOn w:val="DefaultParagraphFont"/>
    <w:link w:val="Zhlav"/>
    <w:uiPriority w:val="99"/>
    <w:qFormat/>
    <w:rsid w:val="003b7474"/>
    <w:rPr/>
  </w:style>
  <w:style w:type="character" w:styleId="ZpatChar" w:customStyle="1">
    <w:name w:val="Zápatí Char"/>
    <w:basedOn w:val="DefaultParagraphFont"/>
    <w:link w:val="Zpat"/>
    <w:uiPriority w:val="99"/>
    <w:qFormat/>
    <w:rsid w:val="003b7474"/>
    <w:rPr/>
  </w:style>
  <w:style w:type="character" w:styleId="ListLabel1">
    <w:name w:val="ListLabel 1"/>
    <w:qFormat/>
    <w:rPr>
      <w:rFonts w:eastAsia="Calibri" w:cs="Calibri"/>
    </w:rPr>
  </w:style>
  <w:style w:type="character" w:styleId="ListLabel2">
    <w:name w:val="ListLabel 2"/>
    <w:qFormat/>
    <w:rPr>
      <w:rFonts w:cs="Courier New"/>
    </w:rPr>
  </w:style>
  <w:style w:type="character" w:styleId="ListLabel3">
    <w:name w:val="ListLabel 3"/>
    <w:qFormat/>
    <w:rPr>
      <w:rFonts w:cs="Courier New"/>
    </w:rPr>
  </w:style>
  <w:style w:type="character" w:styleId="ListLabel4">
    <w:name w:val="ListLabel 4"/>
    <w:qFormat/>
    <w:rPr>
      <w:rFonts w:cs="Courier New"/>
    </w:rPr>
  </w:style>
  <w:style w:type="character" w:styleId="ListLabel5">
    <w:name w:val="ListLabel 5"/>
    <w:qFormat/>
    <w:rPr>
      <w:rFonts w:cs="Calibri"/>
    </w:rPr>
  </w:style>
  <w:style w:type="character" w:styleId="ListLabel6">
    <w:name w:val="ListLabel 6"/>
    <w:qFormat/>
    <w:rPr>
      <w:rFonts w:cs="Courier New"/>
    </w:rPr>
  </w:style>
  <w:style w:type="character" w:styleId="ListLabel7">
    <w:name w:val="ListLabel 7"/>
    <w:qFormat/>
    <w:rPr>
      <w:rFonts w:cs="Wingdings"/>
    </w:rPr>
  </w:style>
  <w:style w:type="character" w:styleId="ListLabel8">
    <w:name w:val="ListLabel 8"/>
    <w:qFormat/>
    <w:rPr>
      <w:rFonts w:cs="Symbol"/>
    </w:rPr>
  </w:style>
  <w:style w:type="character" w:styleId="ListLabel9">
    <w:name w:val="ListLabel 9"/>
    <w:qFormat/>
    <w:rPr>
      <w:rFonts w:cs="Courier New"/>
    </w:rPr>
  </w:style>
  <w:style w:type="character" w:styleId="ListLabel10">
    <w:name w:val="ListLabel 10"/>
    <w:qFormat/>
    <w:rPr>
      <w:rFonts w:cs="Wingdings"/>
    </w:rPr>
  </w:style>
  <w:style w:type="character" w:styleId="ListLabel11">
    <w:name w:val="ListLabel 11"/>
    <w:qFormat/>
    <w:rPr>
      <w:rFonts w:cs="Symbol"/>
    </w:rPr>
  </w:style>
  <w:style w:type="character" w:styleId="ListLabel12">
    <w:name w:val="ListLabel 12"/>
    <w:qFormat/>
    <w:rPr>
      <w:rFonts w:cs="Courier New"/>
    </w:rPr>
  </w:style>
  <w:style w:type="character" w:styleId="ListLabel13">
    <w:name w:val="ListLabel 13"/>
    <w:qFormat/>
    <w:rPr>
      <w:rFonts w:cs="Wingdings"/>
    </w:rPr>
  </w:style>
  <w:style w:type="character" w:styleId="ListLabel14">
    <w:name w:val="ListLabel 14"/>
    <w:qFormat/>
    <w:rPr>
      <w:rFonts w:cs="Calibri"/>
    </w:rPr>
  </w:style>
  <w:style w:type="character" w:styleId="ListLabel15">
    <w:name w:val="ListLabel 15"/>
    <w:qFormat/>
    <w:rPr>
      <w:rFonts w:cs="Courier New"/>
    </w:rPr>
  </w:style>
  <w:style w:type="character" w:styleId="ListLabel16">
    <w:name w:val="ListLabel 16"/>
    <w:qFormat/>
    <w:rPr>
      <w:rFonts w:cs="Wingdings"/>
    </w:rPr>
  </w:style>
  <w:style w:type="character" w:styleId="ListLabel17">
    <w:name w:val="ListLabel 17"/>
    <w:qFormat/>
    <w:rPr>
      <w:rFonts w:cs="Symbol"/>
    </w:rPr>
  </w:style>
  <w:style w:type="character" w:styleId="ListLabel18">
    <w:name w:val="ListLabel 18"/>
    <w:qFormat/>
    <w:rPr>
      <w:rFonts w:cs="Courier New"/>
    </w:rPr>
  </w:style>
  <w:style w:type="character" w:styleId="ListLabel19">
    <w:name w:val="ListLabel 19"/>
    <w:qFormat/>
    <w:rPr>
      <w:rFonts w:cs="Wingdings"/>
    </w:rPr>
  </w:style>
  <w:style w:type="character" w:styleId="ListLabel20">
    <w:name w:val="ListLabel 20"/>
    <w:qFormat/>
    <w:rPr>
      <w:rFonts w:cs="Symbol"/>
    </w:rPr>
  </w:style>
  <w:style w:type="character" w:styleId="ListLabel21">
    <w:name w:val="ListLabel 21"/>
    <w:qFormat/>
    <w:rPr>
      <w:rFonts w:cs="Courier New"/>
    </w:rPr>
  </w:style>
  <w:style w:type="character" w:styleId="ListLabel22">
    <w:name w:val="ListLabel 22"/>
    <w:qFormat/>
    <w:rPr>
      <w:rFonts w:cs="Wingdings"/>
    </w:rPr>
  </w:style>
  <w:style w:type="character" w:styleId="ListLabel23">
    <w:name w:val="ListLabel 23"/>
    <w:qFormat/>
    <w:rPr>
      <w:rFonts w:cs="Calibri"/>
    </w:rPr>
  </w:style>
  <w:style w:type="character" w:styleId="ListLabel24">
    <w:name w:val="ListLabel 24"/>
    <w:qFormat/>
    <w:rPr>
      <w:rFonts w:cs="Courier New"/>
    </w:rPr>
  </w:style>
  <w:style w:type="character" w:styleId="ListLabel25">
    <w:name w:val="ListLabel 25"/>
    <w:qFormat/>
    <w:rPr>
      <w:rFonts w:cs="Wingdings"/>
    </w:rPr>
  </w:style>
  <w:style w:type="character" w:styleId="ListLabel26">
    <w:name w:val="ListLabel 26"/>
    <w:qFormat/>
    <w:rPr>
      <w:rFonts w:cs="Symbol"/>
    </w:rPr>
  </w:style>
  <w:style w:type="character" w:styleId="ListLabel27">
    <w:name w:val="ListLabel 27"/>
    <w:qFormat/>
    <w:rPr>
      <w:rFonts w:cs="Courier New"/>
    </w:rPr>
  </w:style>
  <w:style w:type="character" w:styleId="ListLabel28">
    <w:name w:val="ListLabel 28"/>
    <w:qFormat/>
    <w:rPr>
      <w:rFonts w:cs="Wingdings"/>
    </w:rPr>
  </w:style>
  <w:style w:type="character" w:styleId="ListLabel29">
    <w:name w:val="ListLabel 29"/>
    <w:qFormat/>
    <w:rPr>
      <w:rFonts w:cs="Symbol"/>
    </w:rPr>
  </w:style>
  <w:style w:type="character" w:styleId="ListLabel30">
    <w:name w:val="ListLabel 30"/>
    <w:qFormat/>
    <w:rPr>
      <w:rFonts w:cs="Courier New"/>
    </w:rPr>
  </w:style>
  <w:style w:type="character" w:styleId="ListLabel31">
    <w:name w:val="ListLabel 31"/>
    <w:qFormat/>
    <w:rPr>
      <w:rFonts w:cs="Wingdings"/>
    </w:rPr>
  </w:style>
  <w:style w:type="character" w:styleId="ListLabel32">
    <w:name w:val="ListLabel 32"/>
    <w:qFormat/>
    <w:rPr>
      <w:rFonts w:cs="Calibri"/>
    </w:rPr>
  </w:style>
  <w:style w:type="character" w:styleId="ListLabel33">
    <w:name w:val="ListLabel 33"/>
    <w:qFormat/>
    <w:rPr>
      <w:rFonts w:cs="Courier New"/>
    </w:rPr>
  </w:style>
  <w:style w:type="character" w:styleId="ListLabel34">
    <w:name w:val="ListLabel 34"/>
    <w:qFormat/>
    <w:rPr>
      <w:rFonts w:cs="Wingdings"/>
    </w:rPr>
  </w:style>
  <w:style w:type="character" w:styleId="ListLabel35">
    <w:name w:val="ListLabel 35"/>
    <w:qFormat/>
    <w:rPr>
      <w:rFonts w:cs="Symbol"/>
    </w:rPr>
  </w:style>
  <w:style w:type="character" w:styleId="ListLabel36">
    <w:name w:val="ListLabel 36"/>
    <w:qFormat/>
    <w:rPr>
      <w:rFonts w:cs="Courier New"/>
    </w:rPr>
  </w:style>
  <w:style w:type="character" w:styleId="ListLabel37">
    <w:name w:val="ListLabel 37"/>
    <w:qFormat/>
    <w:rPr>
      <w:rFonts w:cs="Wingdings"/>
    </w:rPr>
  </w:style>
  <w:style w:type="character" w:styleId="ListLabel38">
    <w:name w:val="ListLabel 38"/>
    <w:qFormat/>
    <w:rPr>
      <w:rFonts w:cs="Symbol"/>
    </w:rPr>
  </w:style>
  <w:style w:type="character" w:styleId="ListLabel39">
    <w:name w:val="ListLabel 39"/>
    <w:qFormat/>
    <w:rPr>
      <w:rFonts w:cs="Courier New"/>
    </w:rPr>
  </w:style>
  <w:style w:type="character" w:styleId="ListLabel40">
    <w:name w:val="ListLabel 40"/>
    <w:qFormat/>
    <w:rPr>
      <w:rFonts w:cs="Wingdings"/>
    </w:rPr>
  </w:style>
  <w:style w:type="paragraph" w:styleId="Nadpis">
    <w:name w:val="Nadpis"/>
    <w:basedOn w:val="Normal"/>
    <w:next w:val="Tlotextu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Tlotextu">
    <w:name w:val="Body Text"/>
    <w:basedOn w:val="Normal"/>
    <w:pPr>
      <w:spacing w:lineRule="auto" w:line="276" w:before="0" w:after="140"/>
    </w:pPr>
    <w:rPr/>
  </w:style>
  <w:style w:type="paragraph" w:styleId="Seznam">
    <w:name w:val="List"/>
    <w:basedOn w:val="Tlotextu"/>
    <w:pPr/>
    <w:rPr>
      <w:rFonts w:cs="Arial Unicode MS"/>
    </w:rPr>
  </w:style>
  <w:style w:type="paragraph" w:styleId="Popisek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Rejstk">
    <w:name w:val="Rejstřík"/>
    <w:basedOn w:val="Normal"/>
    <w:qFormat/>
    <w:pPr>
      <w:suppressLineNumbers/>
    </w:pPr>
    <w:rPr>
      <w:rFonts w:cs="Arial Unicode MS"/>
    </w:rPr>
  </w:style>
  <w:style w:type="paragraph" w:styleId="ListParagraph">
    <w:name w:val="List Paragraph"/>
    <w:basedOn w:val="Normal"/>
    <w:link w:val="OdstavecseseznamemChar"/>
    <w:uiPriority w:val="34"/>
    <w:qFormat/>
    <w:rsid w:val="00b93377"/>
    <w:pPr>
      <w:spacing w:lineRule="auto" w:line="240" w:before="0" w:after="0"/>
      <w:ind w:left="720" w:hanging="0"/>
      <w:contextualSpacing/>
      <w:jc w:val="both"/>
    </w:pPr>
    <w:rPr>
      <w:rFonts w:ascii="Calibri" w:hAnsi="Calibri" w:eastAsia="Times New Roman" w:cs="Times New Roman"/>
      <w:szCs w:val="20"/>
      <w:lang w:eastAsia="cs-CZ"/>
    </w:rPr>
  </w:style>
  <w:style w:type="paragraph" w:styleId="Zhlav">
    <w:name w:val="Header"/>
    <w:basedOn w:val="Normal"/>
    <w:link w:val="ZhlavChar"/>
    <w:uiPriority w:val="99"/>
    <w:unhideWhenUsed/>
    <w:rsid w:val="003b7474"/>
    <w:pPr>
      <w:tabs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Zpat">
    <w:name w:val="Footer"/>
    <w:basedOn w:val="Normal"/>
    <w:link w:val="ZpatChar"/>
    <w:uiPriority w:val="99"/>
    <w:unhideWhenUsed/>
    <w:rsid w:val="003b7474"/>
    <w:pPr>
      <w:tabs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Obsahtabulky">
    <w:name w:val="Obsah tabulky"/>
    <w:basedOn w:val="Normal"/>
    <w:qFormat/>
    <w:pPr>
      <w:suppressLineNumbers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wmf"/><Relationship Id="rId4" Type="http://schemas.openxmlformats.org/officeDocument/2006/relationships/image" Target="media/image3.wmf"/><Relationship Id="rId5" Type="http://schemas.openxmlformats.org/officeDocument/2006/relationships/image" Target="media/image4.wmf"/><Relationship Id="rId6" Type="http://schemas.openxmlformats.org/officeDocument/2006/relationships/header" Target="header1.xml"/><Relationship Id="rId7" Type="http://schemas.openxmlformats.org/officeDocument/2006/relationships/header" Target="header2.xml"/><Relationship Id="rId8" Type="http://schemas.openxmlformats.org/officeDocument/2006/relationships/footer" Target="footer1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5.tif"/><Relationship Id="rId2" Type="http://schemas.openxmlformats.org/officeDocument/2006/relationships/image" Target="media/image6.ti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7.tif"/><Relationship Id="rId2" Type="http://schemas.openxmlformats.org/officeDocument/2006/relationships/image" Target="media/image8.tif"/>
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4162</TotalTime>
  <Application>LibreOffice/6.1.0.3$Windows_X86_64 LibreOffice_project/efb621ed25068d70781dc026f7e9c5187a4decd1</Application>
  <Pages>7</Pages>
  <Words>1005</Words>
  <Characters>5666</Characters>
  <CharactersWithSpaces>6574</CharactersWithSpaces>
  <Paragraphs>143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2021-01-11T17:41:00Z</dcterms:created>
  <dc:creator>vaclavie</dc:creator>
  <dc:description/>
  <dc:language>cs-CZ</dc:language>
  <cp:lastModifiedBy/>
  <dcterms:modified xsi:type="dcterms:W3CDTF">2023-12-05T14:54:17Z</dcterms:modified>
  <cp:revision>36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