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header2.xml" ContentType="application/vnd.openxmlformats-officedocument.wordprocessingml.header+xml"/>
  <Override PartName="/word/media/image1.jpeg" ContentType="image/jpeg"/>
  <Override PartName="/word/media/image2.tif" ContentType="image/tiff"/>
  <Override PartName="/word/media/image3.tif" ContentType="image/tiff"/>
  <Override PartName="/word/media/image4.tif" ContentType="image/tiff"/>
  <Override PartName="/word/media/image5.tif" ContentType="image/tiff"/>
  <Override PartName="/word/media/image6.tif" ContentType="image/tiff"/>
  <Override PartName="/word/media/image7.tif" ContentType="image/tiff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header3.xml.rels" ContentType="application/vnd.openxmlformats-package.relationships+xml"/>
  <Override PartName="/word/_rels/document.xml.rels" ContentType="application/vnd.openxmlformats-package.relationships+xml"/>
  <Override PartName="/word/_rels/header1.xml.rels" ContentType="application/vnd.openxmlformats-package.relationships+xml"/>
  <Override PartName="/word/_rels/header2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b/>
          <w:b/>
          <w:sz w:val="48"/>
          <w:szCs w:val="48"/>
          <w:highlight w:val="yellow"/>
        </w:rPr>
      </w:pPr>
      <w:r>
        <w:rPr>
          <w:b/>
          <w:sz w:val="48"/>
          <w:szCs w:val="48"/>
          <w:highlight w:val="yellow"/>
        </w:rPr>
      </w:r>
    </w:p>
    <w:p>
      <w:pPr>
        <w:pStyle w:val="Normal"/>
        <w:jc w:val="center"/>
        <w:rPr>
          <w:b/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>
      <w:pPr>
        <w:pStyle w:val="Normal"/>
        <w:jc w:val="center"/>
        <w:rPr>
          <w:b/>
          <w:b/>
          <w:sz w:val="48"/>
          <w:szCs w:val="48"/>
        </w:rPr>
      </w:pPr>
      <w:r>
        <w:rPr>
          <w:b/>
          <w:sz w:val="48"/>
          <w:szCs w:val="48"/>
        </w:rPr>
      </w:r>
    </w:p>
    <w:p>
      <w:pPr>
        <w:pStyle w:val="Normal"/>
        <w:jc w:val="center"/>
        <w:rPr>
          <w:b/>
          <w:b/>
          <w:sz w:val="48"/>
          <w:szCs w:val="48"/>
        </w:rPr>
      </w:pPr>
      <w:r>
        <w:rPr/>
        <w:drawing>
          <wp:inline distT="0" distB="0" distL="0" distR="0">
            <wp:extent cx="5760720" cy="3827780"/>
            <wp:effectExtent l="0" t="0" r="0" b="0"/>
            <wp:docPr id="1" name="Obrázek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4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sz w:val="48"/>
          <w:szCs w:val="48"/>
          <w:highlight w:val="yellow"/>
        </w:rPr>
      </w:pPr>
      <w:r>
        <w:rPr>
          <w:b/>
          <w:sz w:val="48"/>
          <w:szCs w:val="48"/>
          <w:highlight w:val="yellow"/>
        </w:rPr>
      </w:r>
    </w:p>
    <w:p>
      <w:pPr>
        <w:pStyle w:val="Normal"/>
        <w:jc w:val="center"/>
        <w:rPr/>
      </w:pPr>
      <w:r>
        <w:rPr>
          <w:b/>
          <w:sz w:val="48"/>
          <w:szCs w:val="48"/>
        </w:rPr>
        <w:t>Revitalizace lokality Malý  Bor</w:t>
      </w:r>
    </w:p>
    <w:p>
      <w:pPr>
        <w:pStyle w:val="Normal"/>
        <w:jc w:val="center"/>
        <w:rPr>
          <w:b/>
          <w:b/>
          <w:sz w:val="40"/>
          <w:szCs w:val="40"/>
        </w:rPr>
      </w:pPr>
      <w:r>
        <w:rPr>
          <w:b/>
          <w:sz w:val="40"/>
          <w:szCs w:val="40"/>
        </w:rPr>
        <w:t>(k.ú. Hůrka u Železné Rudy)</w:t>
      </w:r>
    </w:p>
    <w:p>
      <w:pPr>
        <w:pStyle w:val="Normal"/>
        <w:jc w:val="center"/>
        <w:rPr>
          <w:b/>
          <w:b/>
          <w:sz w:val="40"/>
          <w:szCs w:val="40"/>
        </w:rPr>
      </w:pPr>
      <w:r>
        <w:rPr>
          <w:b/>
          <w:sz w:val="40"/>
          <w:szCs w:val="40"/>
        </w:rPr>
      </w:r>
    </w:p>
    <w:p>
      <w:pPr>
        <w:pStyle w:val="Normal"/>
        <w:jc w:val="center"/>
        <w:rPr>
          <w:b/>
          <w:b/>
          <w:sz w:val="40"/>
          <w:szCs w:val="40"/>
        </w:rPr>
      </w:pPr>
      <w:r>
        <w:rPr>
          <w:b/>
          <w:sz w:val="40"/>
          <w:szCs w:val="40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/>
      </w:pPr>
      <w:r>
        <w:rPr>
          <w:b/>
          <w:sz w:val="28"/>
          <w:szCs w:val="28"/>
        </w:rPr>
        <w:t>Únor  2021</w:t>
      </w:r>
    </w:p>
    <w:p>
      <w:pPr>
        <w:pStyle w:val="Normal"/>
        <w:rPr>
          <w:b/>
          <w:b/>
        </w:rPr>
      </w:pPr>
      <w:r>
        <w:rPr>
          <w:b/>
        </w:rPr>
        <w:t>Základní údaje:</w:t>
      </w:r>
    </w:p>
    <w:p>
      <w:pPr>
        <w:pStyle w:val="Normal"/>
        <w:jc w:val="both"/>
        <w:rPr/>
      </w:pPr>
      <w:r>
        <w:rPr/>
        <w:t xml:space="preserve">Stavba byla realizována v rámci projektu LIFE17 NAT/CZ/000452 LIFE for MIRES „Život pro mokřady“. Cílem je obnova přirozeného vodního režimu, zvýšení retence vody v krajině a zlepšení stavu mokřadních biotopů na lokalitě v minulosti poškozené odvodněním systémem povrchových kanálů. Realizovaná opatření přispěla ke zvýšení hladiny podzemní vody, zpomalení povrchového odtoku druhotnou drenážní sítí a zastavení rýhové eroze. Došlo k obnově pramenišť a přírodního charakteru drobných potoků. </w:t>
      </w:r>
    </w:p>
    <w:p>
      <w:pPr>
        <w:pStyle w:val="Normal"/>
        <w:rPr/>
      </w:pPr>
      <w:r>
        <w:rPr>
          <w:b/>
        </w:rPr>
        <w:t xml:space="preserve">Název stavby: </w:t>
        <w:tab/>
        <w:tab/>
      </w:r>
      <w:r>
        <w:rPr/>
        <w:t>Revitalizace lokality Malý Bor</w:t>
      </w:r>
    </w:p>
    <w:p>
      <w:pPr>
        <w:pStyle w:val="Normal"/>
        <w:rPr/>
      </w:pPr>
      <w:r>
        <w:rPr>
          <w:b/>
        </w:rPr>
        <w:t xml:space="preserve">Místo stavby: </w:t>
        <w:tab/>
        <w:tab/>
      </w:r>
      <w:r>
        <w:rPr/>
        <w:t xml:space="preserve">katastrální území Hůrka u Železné Rudy; X,Y: </w:t>
      </w:r>
      <w:r>
        <w:rPr>
          <w:rFonts w:cs="Calibri" w:cstheme="minorHAnsi"/>
        </w:rPr>
        <w:t>1133766, 833250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Celková plocha:</w:t>
        <w:tab/>
      </w:r>
      <w:r>
        <w:rPr>
          <w:rFonts w:cs="Calibri" w:cstheme="minorHAnsi"/>
          <w:b w:val="false"/>
          <w:bCs w:val="false"/>
        </w:rPr>
        <w:t>105 000</w:t>
      </w:r>
      <w:r>
        <w:rPr>
          <w:rFonts w:cs="Calibri" w:cstheme="minorHAnsi"/>
          <w:b w:val="false"/>
          <w:bCs w:val="false"/>
          <w:position w:val="0"/>
          <w:sz w:val="22"/>
          <w:sz w:val="22"/>
          <w:vertAlign w:val="baseline"/>
        </w:rPr>
        <w:t xml:space="preserve"> m</w:t>
      </w:r>
      <w:r>
        <w:rPr>
          <w:rFonts w:cs="Calibri" w:cstheme="minorHAnsi"/>
          <w:b w:val="false"/>
          <w:bCs w:val="false"/>
          <w:vertAlign w:val="superscript"/>
        </w:rPr>
        <w:t>2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Charakter stavby:</w:t>
      </w:r>
      <w:r>
        <w:rPr>
          <w:rFonts w:cs="Calibri" w:cstheme="minorHAnsi"/>
        </w:rPr>
        <w:t xml:space="preserve"> </w:t>
        <w:tab/>
        <w:t>Revitalizační úprava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Investor:</w:t>
      </w:r>
      <w:r>
        <w:rPr>
          <w:rFonts w:cs="Calibri" w:cstheme="minorHAnsi"/>
        </w:rPr>
        <w:t xml:space="preserve"> </w:t>
        <w:tab/>
        <w:tab/>
        <w:t>Správa Národního parku Šumava, 1. máje 260, 385 01 Vimperk</w:t>
      </w:r>
    </w:p>
    <w:p>
      <w:pPr>
        <w:pStyle w:val="Normal"/>
        <w:spacing w:before="0" w:after="0"/>
        <w:rPr>
          <w:rFonts w:cs="Calibri" w:cstheme="minorHAnsi"/>
        </w:rPr>
      </w:pPr>
      <w:r>
        <w:rPr>
          <w:rFonts w:cs="Calibri" w:cstheme="minorHAnsi"/>
          <w:b/>
        </w:rPr>
        <w:t>Projektant:</w:t>
      </w:r>
      <w:r>
        <w:rPr>
          <w:rFonts w:cs="Calibri" w:cstheme="minorHAnsi"/>
        </w:rPr>
        <w:t xml:space="preserve"> </w:t>
        <w:tab/>
        <w:tab/>
        <w:t xml:space="preserve">Vodohospodářský rozvoj a výstavba a.s., Nábřežní 4, 150 56 Praha 5 Smíchov </w:t>
      </w:r>
    </w:p>
    <w:p>
      <w:pPr>
        <w:pStyle w:val="Normal"/>
        <w:ind w:left="1416" w:firstLine="708"/>
        <w:rPr>
          <w:rFonts w:cs="Calibri" w:cstheme="minorHAnsi"/>
        </w:rPr>
      </w:pPr>
      <w:r>
        <w:rPr>
          <w:rFonts w:cs="Calibri" w:cstheme="minorHAnsi"/>
        </w:rPr>
        <w:t>Odpovědný projektant: Ing. Vendula Koterová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Dodavatel:</w:t>
      </w:r>
      <w:r>
        <w:rPr>
          <w:rFonts w:cs="Calibri" w:cstheme="minorHAnsi"/>
        </w:rPr>
        <w:t xml:space="preserve"> </w:t>
        <w:tab/>
        <w:tab/>
        <w:t>Gracculus, s.r.o., Tepelská 476, 364 01 Toužim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Období realizace:</w:t>
      </w:r>
      <w:r>
        <w:rPr>
          <w:rFonts w:cs="Calibri" w:cstheme="minorHAnsi"/>
        </w:rPr>
        <w:t xml:space="preserve"> </w:t>
        <w:tab/>
        <w:t>7/2020 – 9/2020</w:t>
      </w:r>
    </w:p>
    <w:p>
      <w:pPr>
        <w:pStyle w:val="Normal"/>
        <w:rPr>
          <w:rFonts w:cs="Calibri" w:cstheme="minorHAnsi"/>
        </w:rPr>
      </w:pPr>
      <w:r>
        <w:rPr>
          <w:rFonts w:cs="Calibri" w:cstheme="minorHAnsi"/>
          <w:b/>
        </w:rPr>
        <w:t>Celková cena:</w:t>
      </w:r>
      <w:r>
        <w:rPr>
          <w:rFonts w:cs="Calibri" w:cstheme="minorHAnsi"/>
        </w:rPr>
        <w:t xml:space="preserve"> </w:t>
        <w:tab/>
        <w:tab/>
      </w:r>
      <w:r>
        <w:rPr>
          <w:rFonts w:eastAsia="Arial" w:cs="Calibri" w:cstheme="minorHAnsi"/>
          <w:sz w:val="22"/>
        </w:rPr>
        <w:t xml:space="preserve"> 1 516 737,25 </w:t>
      </w:r>
      <w:r>
        <w:rPr>
          <w:rFonts w:cs="Calibri" w:cstheme="minorHAnsi"/>
        </w:rPr>
        <w:t>Kč (bez DPH)</w:t>
      </w:r>
    </w:p>
    <w:p>
      <w:pPr>
        <w:pStyle w:val="Normal"/>
        <w:rPr>
          <w:rFonts w:cs="Calibri" w:cstheme="minorHAnsi"/>
          <w:b/>
          <w:b/>
        </w:rPr>
      </w:pPr>
      <w:r>
        <w:rPr>
          <w:rFonts w:cs="Calibri" w:cstheme="minorHAnsi"/>
          <w:b/>
        </w:rPr>
        <w:t xml:space="preserve">Seznam pozemků, na kterých se stavba umisťuje: </w:t>
      </w:r>
    </w:p>
    <w:tbl>
      <w:tblPr>
        <w:tblW w:w="9067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70" w:type="dxa"/>
          <w:bottom w:w="0" w:type="dxa"/>
          <w:right w:w="70" w:type="dxa"/>
        </w:tblCellMar>
        <w:tblLook w:firstRow="1" w:noVBand="1" w:lastRow="0" w:firstColumn="1" w:lastColumn="0" w:noHBand="0" w:val="04a0"/>
      </w:tblPr>
      <w:tblGrid>
        <w:gridCol w:w="894"/>
        <w:gridCol w:w="1416"/>
        <w:gridCol w:w="1217"/>
        <w:gridCol w:w="933"/>
        <w:gridCol w:w="472"/>
        <w:gridCol w:w="1839"/>
        <w:gridCol w:w="1527"/>
        <w:gridCol w:w="768"/>
      </w:tblGrid>
      <w:tr>
        <w:trPr>
          <w:tblHeader w:val="true"/>
          <w:trHeight w:val="227" w:hRule="atLeast"/>
        </w:trPr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Parcelní číslo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Druh pozemku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Způsob využití pozemku</w:t>
            </w:r>
          </w:p>
        </w:tc>
        <w:tc>
          <w:tcPr>
            <w:tcW w:w="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Výměra</w:t>
            </w:r>
          </w:p>
        </w:tc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LV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Vlastník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Adresa</w:t>
            </w:r>
          </w:p>
        </w:tc>
        <w:tc>
          <w:tcPr>
            <w:tcW w:w="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themeFill="background1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cs="Calibri"/>
                <w:b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Plocha záboru (m</w:t>
            </w:r>
            <w:r>
              <w:rPr>
                <w:rFonts w:cs="Calibri"/>
                <w:b/>
                <w:bCs/>
                <w:color w:val="000000"/>
                <w:sz w:val="20"/>
                <w:szCs w:val="20"/>
                <w:vertAlign w:val="superscript"/>
              </w:rPr>
              <w:t>2</w:t>
            </w:r>
            <w:r>
              <w:rPr>
                <w:rFonts w:cs="Calibri"/>
                <w:b/>
                <w:bCs/>
                <w:color w:val="000000"/>
                <w:sz w:val="20"/>
                <w:szCs w:val="20"/>
              </w:rPr>
              <w:t>)</w:t>
            </w:r>
          </w:p>
        </w:tc>
      </w:tr>
      <w:tr>
        <w:trPr>
          <w:trHeight w:val="227" w:hRule="atLeast"/>
        </w:trPr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3064/1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lesní pozemek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894 522</w:t>
            </w:r>
          </w:p>
        </w:tc>
        <w:tc>
          <w:tcPr>
            <w:tcW w:w="4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jc w:val="center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8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Česká republika; Správa Národního parku Šumava</w:t>
            </w:r>
          </w:p>
        </w:tc>
        <w:tc>
          <w:tcPr>
            <w:tcW w:w="15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 xml:space="preserve">1. máje 260/19, 38501 Vimperk </w:t>
            </w:r>
          </w:p>
        </w:tc>
        <w:tc>
          <w:tcPr>
            <w:tcW w:w="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jc w:val="center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6000</w:t>
            </w:r>
          </w:p>
        </w:tc>
      </w:tr>
      <w:tr>
        <w:trPr>
          <w:trHeight w:val="227" w:hRule="atLeast"/>
        </w:trPr>
        <w:tc>
          <w:tcPr>
            <w:tcW w:w="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3535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Ostatní plocha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 </w:t>
            </w:r>
            <w:r>
              <w:rPr>
                <w:rFonts w:cs="Calibri"/>
                <w:color w:val="000000"/>
                <w:sz w:val="20"/>
                <w:szCs w:val="20"/>
              </w:rPr>
              <w:t>Jiná plocha</w:t>
            </w:r>
          </w:p>
        </w:tc>
        <w:tc>
          <w:tcPr>
            <w:tcW w:w="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jc w:val="right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354 662</w:t>
            </w:r>
          </w:p>
        </w:tc>
        <w:tc>
          <w:tcPr>
            <w:tcW w:w="47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jc w:val="right"/>
              <w:rPr>
                <w:rFonts w:cs="Calibri"/>
                <w:color w:val="000000"/>
                <w:sz w:val="20"/>
                <w:szCs w:val="20"/>
              </w:rPr>
            </w:pPr>
            <w:r>
              <w:rPr>
                <w:rFonts w:cs="Calibri"/>
                <w:color w:val="000000"/>
                <w:sz w:val="20"/>
                <w:szCs w:val="20"/>
              </w:rPr>
            </w:r>
          </w:p>
        </w:tc>
        <w:tc>
          <w:tcPr>
            <w:tcW w:w="183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rPr>
                <w:rFonts w:cs="Calibri"/>
                <w:color w:val="000000"/>
                <w:sz w:val="20"/>
                <w:szCs w:val="20"/>
              </w:rPr>
            </w:pPr>
            <w:r>
              <w:rPr>
                <w:rFonts w:cs="Calibri"/>
                <w:color w:val="000000"/>
                <w:sz w:val="20"/>
                <w:szCs w:val="20"/>
              </w:rPr>
            </w:r>
          </w:p>
        </w:tc>
        <w:tc>
          <w:tcPr>
            <w:tcW w:w="152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200"/>
              <w:rPr>
                <w:rFonts w:cs="Calibri"/>
                <w:color w:val="000000"/>
                <w:sz w:val="20"/>
                <w:szCs w:val="20"/>
              </w:rPr>
            </w:pPr>
            <w:r>
              <w:rPr>
                <w:rFonts w:cs="Calibri"/>
                <w:color w:val="000000"/>
                <w:sz w:val="20"/>
                <w:szCs w:val="20"/>
              </w:rPr>
            </w:r>
          </w:p>
        </w:tc>
        <w:tc>
          <w:tcPr>
            <w:tcW w:w="7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bottom"/>
          </w:tcPr>
          <w:p>
            <w:pPr>
              <w:pStyle w:val="Normal"/>
              <w:spacing w:lineRule="auto" w:line="240" w:before="0" w:after="200"/>
              <w:jc w:val="center"/>
              <w:rPr/>
            </w:pPr>
            <w:r>
              <w:rPr>
                <w:rFonts w:cs="Calibri"/>
                <w:color w:val="000000"/>
                <w:sz w:val="20"/>
                <w:szCs w:val="20"/>
              </w:rPr>
              <w:t>99 000</w:t>
            </w:r>
          </w:p>
        </w:tc>
      </w:tr>
    </w:tbl>
    <w:p>
      <w:pPr>
        <w:sectPr>
          <w:headerReference w:type="default" r:id="rId3"/>
          <w:headerReference w:type="first" r:id="rId4"/>
          <w:footerReference w:type="default" r:id="rId5"/>
          <w:type w:val="nextPage"/>
          <w:pgSz w:w="11906" w:h="16838"/>
          <w:pgMar w:left="1417" w:right="1417" w:header="708" w:top="1417" w:footer="708" w:bottom="1417" w:gutter="0"/>
          <w:pgNumType w:fmt="decimal"/>
          <w:formProt w:val="false"/>
          <w:titlePg/>
          <w:textDirection w:val="lrTb"/>
          <w:docGrid w:type="default" w:linePitch="360" w:charSpace="4096"/>
        </w:sectPr>
      </w:pPr>
    </w:p>
    <w:p>
      <w:pPr>
        <w:pStyle w:val="Normal"/>
        <w:rPr/>
      </w:pPr>
      <w:bookmarkStart w:id="0" w:name="__DdeLink__9992_2800945955"/>
      <w:bookmarkEnd w:id="0"/>
      <w:r>
        <w:rPr>
          <w:rFonts w:eastAsia="Calibri" w:cs="" w:cstheme="minorBidi" w:eastAsiaTheme="minorHAnsi"/>
          <w:b/>
        </w:rPr>
        <w:t>Technická zpráva:</w:t>
      </w:r>
    </w:p>
    <w:p>
      <w:pPr>
        <w:pStyle w:val="Normal"/>
        <w:jc w:val="both"/>
        <w:rPr>
          <w:highlight w:val="yellow"/>
        </w:rPr>
      </w:pPr>
      <w:r>
        <w:rPr>
          <w:rFonts w:eastAsia="Calibri" w:cs="" w:cstheme="minorBidi" w:eastAsiaTheme="minorHAnsi"/>
        </w:rPr>
        <w:t>Cíl projektu byl naplněn a hydrologický režim lokality je nyní přírodě blízký. Byly zahrazeny odvodňovací kanály a voda převedena do mělkých koryt. Změny se týkají pouze přesné polohy některých vytvářených potočišť s ohledem na mikroreliéf. Přehled změn (kódování dle PD):</w:t>
      </w:r>
    </w:p>
    <w:p>
      <w:pPr>
        <w:pStyle w:val="Normal"/>
        <w:jc w:val="both"/>
        <w:rPr>
          <w:highlight w:val="yellow"/>
        </w:rPr>
      </w:pPr>
      <w:r>
        <w:rPr>
          <w:rFonts w:eastAsia="Calibri" w:cs="" w:cstheme="minorBidi" w:eastAsiaTheme="minorHAnsi"/>
        </w:rPr>
        <w:t>MB1: Po křížení s MB4a veden dle PD, dál veden jižněji do původního potoka pod blatkovým borem. Většina délky pouze jako iniciální stádium koryta.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MB2: Trasa upravena pod křížením s bývalým náhonem MBB, veden západněji. Provedeno v téměř celé délce jako vytvarování nového koryta, pouze v závěrečném úseku je voda svedena do původní trasy, kterou odtékala voda z náhonu.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MB3: Vytvořeno nové koryto v nivě od křížení s horním náhonem po zaústění do ohybu dolního náhonu.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MB4: Pouze malý zdroj vody v prameništi, nebylo vytvářeno koryto, ponecháno v iniciální fázi.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MB5: Nové potočiště vedoucí vodu z prameniště východně od kanálu MB4, trasa viz geodetické zaměření. V části trasy provedeno jako nové koryto, část využívá původní terén a ponecháno v iniciální fázi s volným odtokem.</w:t>
      </w:r>
    </w:p>
    <w:p>
      <w:pPr>
        <w:pStyle w:val="Normal"/>
        <w:rPr/>
      </w:pPr>
      <w:r>
        <w:rPr>
          <w:rFonts w:eastAsia="Calibri" w:cs="" w:cstheme="minorBidi" w:eastAsiaTheme="minorHAnsi"/>
        </w:rPr>
        <w:t xml:space="preserve">V průběhu výstavby došlo k určitým úpravám oproti projektové dokumentaci. Jde zejména o utěsnění odvodňovacích per v pramenných oblastech potoků. To zlepší jejich funkci jako prameniště (pramenné mísy, tůně, ze které voda pozvolna odtéká). V důsledku toho byl navýšen počet hrází typu B. </w:t>
      </w:r>
    </w:p>
    <w:p>
      <w:pPr>
        <w:pStyle w:val="Normal"/>
        <w:rPr/>
      </w:pPr>
      <w:r>
        <w:rPr>
          <w:rFonts w:eastAsia="Calibri" w:cs="" w:cstheme="minorBidi" w:eastAsiaTheme="minorHAnsi"/>
        </w:rPr>
        <w:t>Oproti projektové dokumentaci a předpokládanému rozpočtu byla nižší spotřeba prken na výstavbu hrází (kanály byly menší a užší) a bylo více využito hutněného obsypu zejména u hrází typu A (zdvojené), což zajistí jejich vyšší trvanlivost a odolnost. K tomu bylo využité značné množství materiálu z břehových valů.</w:t>
      </w:r>
    </w:p>
    <w:p>
      <w:pPr>
        <w:pStyle w:val="Normal"/>
        <w:rPr/>
      </w:pPr>
      <w:r>
        <w:rPr>
          <w:rFonts w:eastAsia="Calibri" w:cs="" w:cstheme="minorBidi" w:eastAsiaTheme="minorHAnsi"/>
        </w:rPr>
        <w:t>Dále nebyly využity haťové válce – v blízkosti kanálů bylo k dispozici dostatečné množství zeminy, kmenů a větví stromů k zasypání kanálů (hatě jsou v zásadě náhradní řešení pro případ, že výše uvedených materiálů není dostatek).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Menší změny se týkají hrází typu C (s využitím betonového přejezdu). Ve dvou případech (prudký svah) byly realizovány dle vzorového výkresu (dřevěné palisáda na návodní i vzdušné straně, počítáno jako jedna hráz). Ve dvou případech byla postavena palisáda pouze na návodní straně. To se týká prakticky vodorovného kanálu B – bývalého náhonu. Technicky je počet hrází (přerušení kanálu) stejný – 4.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Souhrnně došlo k navýšení počtu hrází. V PD bylo kalkulováno 79 hrází, v terénu bylo vybudováno 102 hrází.</w:t>
      </w:r>
    </w:p>
    <w:p>
      <w:pPr>
        <w:pStyle w:val="Normal"/>
        <w:jc w:val="both"/>
        <w:rPr/>
      </w:pPr>
      <w:r>
        <w:rPr>
          <w:rFonts w:eastAsia="Calibri" w:cs="" w:cstheme="minorBidi" w:eastAsiaTheme="minorHAnsi"/>
        </w:rPr>
        <w:t>Při stavbě došlo k zásahu do osmi toků evidovaných v CEVT. V tabulce je popsáno technické řešení a povaha zásahu.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</w:r>
    </w:p>
    <w:tbl>
      <w:tblPr>
        <w:tblW w:w="9638" w:type="dxa"/>
        <w:jc w:val="left"/>
        <w:tblInd w:w="5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</w:tblPr>
      <w:tblGrid>
        <w:gridCol w:w="2409"/>
        <w:gridCol w:w="2066"/>
        <w:gridCol w:w="1595"/>
        <w:gridCol w:w="3567"/>
      </w:tblGrid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IDVT, typ vodoteče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 xml:space="preserve"> </w:t>
            </w: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Celková délka (m)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Označení v PD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Technické řešení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10253485, bývalý náhon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425.07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A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Po ústí nového koryta MB 3 bez zásahu, má polopřirozený charakter (omezeně průtočný jen za vysokého stavu vody, jinak tůně). Pod ústím nového koryta provedeno rozvlnění – 10 x vytvořená břehová nátrž (nárazový břeh) a v opačné straně oblouku berma z uvolněného z břehu materiálu.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10276448 ; bývalý náhon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632.75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Nefunkční kanál bez nátoku z Křemelné. Byl zahrazen  dřevěnými přehrádkami a místně zásypem z břehových valů. Kříží ho přirozený tok MB B9 (IDVT 10276448), který pod křížením pokračuje jako nové koryto MB 3 ústící do ohbí bývalého náhonu MBA.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10259044; odvodňovací kanál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339.64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MB1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Odvodňovací kanál v louce. Zrušen,přehrazen dřevěnými přehrádkami a zásypem, voda převedena do nového koryta MB 2.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10256772; odvodnění prameniště v louce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38.62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B1a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Odvodňovací kanál v louce z prameniště. Zrušen,přehrazen dřevěnými přehrádkami a zásypem, voda převedena do nového koryta MB 2.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10263301; odvodňovací kanál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 xml:space="preserve"> </w:t>
            </w: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497.98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B4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Odvodňovací kanál, zahrazen dřevěnými přehrádkami a zásypem. Voda převedena do koryt MB 1, z menší části do MB 5 (jímá vodu z prameniště, které kanál protínal).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10270328; odvodňovací kanál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295.85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B4a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Odvodňovací kanál, zahrazen dřevěnými přehrádkami a zásypem. Voda převedena do koryta MB 1, z menší části do MB 5 (kříží kanál v dolní polovině). Plánované koryto MB 4 nebylo vytvořeno pro malý přítok vody z prameniště.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10266761; odvodňovací kanál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152.25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B4b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Odvodňovací kanál, zahrazen dřevěnými přehrádkami a zásypem. Voda převedena do koryt MB 1, z menší části do MB 5 (kříží kanál v dolní polovině).</w:t>
            </w:r>
          </w:p>
        </w:tc>
      </w:tr>
      <w:tr>
        <w:trPr/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10276448; koryto přirozeného charakteru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201.83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MB B9</w:t>
            </w:r>
          </w:p>
        </w:tc>
        <w:tc>
          <w:tcPr>
            <w:tcW w:w="3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Obsahtabulky"/>
              <w:spacing w:before="0" w:after="200"/>
              <w:jc w:val="left"/>
              <w:rPr/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</w:rPr>
              <w:t>Bez zásahu, ale je do něj svedena voda z koryt MB 1 a MB 5. Pod křížením s náhonem voda vedena v novém korytě MB 3 do ohbí bývalého náhonu IDVT 10253485 a dále v jeho trase do Křemelné.</w:t>
            </w:r>
          </w:p>
        </w:tc>
      </w:tr>
    </w:tbl>
    <w:p>
      <w:pPr>
        <w:pStyle w:val="Normal"/>
        <w:jc w:val="both"/>
        <w:rPr>
          <w:highlight w:val="yellow"/>
        </w:rPr>
      </w:pPr>
      <w:r>
        <w:rPr>
          <w:highlight w:val="yellow"/>
        </w:rPr>
      </w:r>
    </w:p>
    <w:p>
      <w:pPr>
        <w:pStyle w:val="Normal"/>
        <w:jc w:val="both"/>
        <w:rPr>
          <w:highlight w:val="yellow"/>
        </w:rPr>
      </w:pPr>
      <w:r>
        <w:rPr>
          <w:highlight w:val="yellow"/>
        </w:rPr>
      </w:r>
    </w:p>
    <w:p>
      <w:pPr>
        <w:pStyle w:val="Normal"/>
        <w:rPr/>
      </w:pPr>
      <w:r>
        <w:rPr/>
        <w:t>Při stavbě byla v souladu s projektovou dokumentací realizována následující opatření, technické řešení jednotlivých opatření odpovídá popisu a vzorovým výkresům ve schválené projektové dokumetaci: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Přehrazení – Typ A – zemní hrázka se dvěma stěnami z prken nebo půlkulatin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Přehrazení – Typ</w:t>
      </w:r>
      <w:r>
        <w:rPr>
          <w:rFonts w:cs="Calibri"/>
          <w:color w:val="000000"/>
          <w:szCs w:val="22"/>
        </w:rPr>
        <w:t xml:space="preserve"> B – zemní</w:t>
      </w:r>
      <w:r>
        <w:rPr/>
        <w:t xml:space="preserve"> hrázka s jednou stěnou z prken nebo půlkulatin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Přehrazení – Typ C – hráz s využitím betonového přejezdu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rPr/>
        <w:t xml:space="preserve"> vyplnění hlubokých koryt (vymělčení)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>
          <w:rFonts w:cs="Calibri"/>
          <w:color w:val="000000"/>
          <w:szCs w:val="22"/>
        </w:rPr>
        <w:t>Vyplnění mělkých suchých kanálů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Obnova původních koryt a vlásečnic</w:t>
      </w:r>
    </w:p>
    <w:p>
      <w:pPr>
        <w:pStyle w:val="ListParagraph"/>
        <w:numPr>
          <w:ilvl w:val="0"/>
          <w:numId w:val="1"/>
        </w:numPr>
        <w:spacing w:lineRule="auto" w:line="276"/>
        <w:rPr/>
      </w:pPr>
      <w:r>
        <w:rPr/>
        <w:t>Rozvolnění stávajících koryt</w:t>
      </w:r>
    </w:p>
    <w:p>
      <w:pPr>
        <w:pStyle w:val="Normal"/>
        <w:rPr>
          <w:highlight w:val="yellow"/>
        </w:rPr>
      </w:pPr>
      <w:r>
        <w:rPr>
          <w:highlight w:val="yellow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Počty hrází instalované na jednotlivých odvodňovacích kanálech a jejich změny oproti projektové dokumentaci jsou uvedeny v následující tabulce.</w:t>
      </w:r>
    </w:p>
    <w:tbl>
      <w:tblPr>
        <w:tblW w:w="8784" w:type="dxa"/>
        <w:jc w:val="left"/>
        <w:tblInd w:w="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65" w:type="dxa"/>
          <w:bottom w:w="0" w:type="dxa"/>
          <w:right w:w="70" w:type="dxa"/>
        </w:tblCellMar>
        <w:tblLook w:firstRow="1" w:noVBand="1" w:lastRow="0" w:firstColumn="1" w:lastColumn="0" w:noHBand="0" w:val="04a0"/>
      </w:tblPr>
      <w:tblGrid>
        <w:gridCol w:w="1060"/>
        <w:gridCol w:w="1220"/>
        <w:gridCol w:w="1360"/>
        <w:gridCol w:w="1319"/>
        <w:gridCol w:w="3825"/>
      </w:tblGrid>
      <w:tr>
        <w:trPr>
          <w:trHeight w:val="816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Kód kanálu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Řešená délka (m)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Přehrádky navržené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Přehrádky realizované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Poznámka</w:t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A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140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 xml:space="preserve">Bývalý náhon, </w:t>
            </w:r>
            <w:r>
              <w:rPr>
                <w:rFonts w:eastAsia="Times New Roman" w:cs="Calibri"/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2"/>
                <w:szCs w:val="22"/>
                <w:u w:val="none"/>
                <w:lang w:eastAsia="cs-CZ"/>
              </w:rPr>
              <w:t>v délce cca 140 m provedeno vymělčení a rozvlnění koryta.</w:t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cs="Calibri" w:cstheme="minorHAnsi"/>
              </w:rPr>
              <w:t>MB B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430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12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10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B1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339,64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16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lang w:eastAsia="cs-CZ"/>
              </w:rPr>
              <w:t>14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B1a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38,62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lang w:eastAsia="cs-CZ"/>
              </w:rPr>
              <w:t>1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B2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B3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497,98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28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B4a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295,85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16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17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cs="Calibri" w:cstheme="minorHAnsi"/>
              </w:rPr>
              <w:t>MB B 4a1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25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2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cs="Calibri" w:cstheme="minorHAnsi"/>
              </w:rPr>
              <w:t>MB B4a2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37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1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B4b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152,25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3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9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B4c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28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B4d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28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B4e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24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B5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92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5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5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B8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186,16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4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9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B9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highlight w:val="yellow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201,83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0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Přírodní koryto, využito jako recipient.</w:t>
            </w:r>
          </w:p>
        </w:tc>
      </w:tr>
      <w:tr>
        <w:trPr>
          <w:trHeight w:val="312" w:hRule="atLeast"/>
        </w:trPr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cs="Calibri" w:cstheme="minorHAnsi"/>
              </w:rPr>
              <w:t>Celkem</w:t>
            </w:r>
          </w:p>
        </w:tc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2 516,33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79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/>
              <w:t>102</w:t>
            </w:r>
          </w:p>
        </w:tc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</w:tbl>
    <w:p>
      <w:pPr>
        <w:pStyle w:val="Normal"/>
        <w:rPr>
          <w:rFonts w:cs="Calibri" w:cstheme="minorHAnsi"/>
          <w:b/>
          <w:b/>
          <w:highlight w:val="yellow"/>
        </w:rPr>
      </w:pPr>
      <w:r>
        <w:rPr>
          <w:rFonts w:cs="Calibri" w:cstheme="minorHAnsi"/>
          <w:b/>
          <w:highlight w:val="yellow"/>
        </w:rPr>
      </w:r>
    </w:p>
    <w:p>
      <w:pPr>
        <w:pStyle w:val="Normal"/>
        <w:rPr>
          <w:rFonts w:cs="Calibri" w:cstheme="minorHAnsi"/>
          <w:b/>
          <w:b/>
          <w:highlight w:val="yellow"/>
        </w:rPr>
      </w:pPr>
      <w:r>
        <w:rPr>
          <w:rFonts w:cs="Calibri" w:cstheme="minorHAnsi"/>
          <w:b/>
          <w:highlight w:val="yellow"/>
        </w:rPr>
      </w:r>
    </w:p>
    <w:tbl>
      <w:tblPr>
        <w:tblW w:w="8980" w:type="dxa"/>
        <w:jc w:val="left"/>
        <w:tblInd w:w="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65" w:type="dxa"/>
          <w:bottom w:w="0" w:type="dxa"/>
          <w:right w:w="70" w:type="dxa"/>
        </w:tblCellMar>
        <w:tblLook w:firstRow="1" w:noVBand="1" w:lastRow="0" w:firstColumn="1" w:lastColumn="0" w:noHBand="0" w:val="04a0"/>
      </w:tblPr>
      <w:tblGrid>
        <w:gridCol w:w="1220"/>
        <w:gridCol w:w="1360"/>
        <w:gridCol w:w="1320"/>
        <w:gridCol w:w="5079"/>
      </w:tblGrid>
      <w:tr>
        <w:trPr>
          <w:trHeight w:val="660" w:hRule="atLeast"/>
        </w:trPr>
        <w:tc>
          <w:tcPr>
            <w:tcW w:w="1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Kód potoka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Navržená trasa (m)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Realizovaná trasa (m)</w:t>
            </w:r>
          </w:p>
        </w:tc>
        <w:tc>
          <w:tcPr>
            <w:tcW w:w="5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Typ koryta</w:t>
            </w:r>
          </w:p>
        </w:tc>
      </w:tr>
      <w:tr>
        <w:trPr>
          <w:trHeight w:val="324" w:hRule="atLeast"/>
        </w:trPr>
        <w:tc>
          <w:tcPr>
            <w:tcW w:w="1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1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435,48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451</w:t>
            </w:r>
          </w:p>
        </w:tc>
        <w:tc>
          <w:tcPr>
            <w:tcW w:w="5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101 m vytvoření nového koryta, 350 m iniciace vzniku koryta</w:t>
            </w:r>
          </w:p>
        </w:tc>
      </w:tr>
      <w:tr>
        <w:trPr>
          <w:trHeight w:val="636" w:hRule="atLeast"/>
        </w:trPr>
        <w:tc>
          <w:tcPr>
            <w:tcW w:w="1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2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274,83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274,83</w:t>
            </w:r>
          </w:p>
        </w:tc>
        <w:tc>
          <w:tcPr>
            <w:tcW w:w="5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bookmarkStart w:id="1" w:name="__DdeLink__713_2622049732"/>
            <w:r>
              <w:rPr>
                <w:rFonts w:eastAsia="Times New Roman" w:cs="Calibri" w:cstheme="minorHAnsi"/>
                <w:color w:val="000000"/>
                <w:lang w:eastAsia="cs-CZ"/>
              </w:rPr>
              <w:t>Realizováno v navržené délce jako nové koryto.</w:t>
            </w:r>
            <w:bookmarkEnd w:id="1"/>
          </w:p>
        </w:tc>
      </w:tr>
      <w:tr>
        <w:trPr>
          <w:trHeight w:val="324" w:hRule="atLeast"/>
        </w:trPr>
        <w:tc>
          <w:tcPr>
            <w:tcW w:w="1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MB 3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156,5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140</w:t>
            </w:r>
          </w:p>
        </w:tc>
        <w:tc>
          <w:tcPr>
            <w:tcW w:w="5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Realizováno v navržené délce jako nové koryto.</w:t>
            </w:r>
          </w:p>
        </w:tc>
      </w:tr>
      <w:tr>
        <w:trPr>
          <w:trHeight w:val="324" w:hRule="atLeast"/>
        </w:trPr>
        <w:tc>
          <w:tcPr>
            <w:tcW w:w="1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MB 4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300,27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276</w:t>
            </w:r>
          </w:p>
        </w:tc>
        <w:tc>
          <w:tcPr>
            <w:tcW w:w="5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Slabý odtok, ponecháno jako iniciace bez upraveného koryta.</w:t>
            </w:r>
          </w:p>
        </w:tc>
      </w:tr>
      <w:tr>
        <w:trPr>
          <w:trHeight w:val="324" w:hRule="atLeast"/>
        </w:trPr>
        <w:tc>
          <w:tcPr>
            <w:tcW w:w="12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MB 5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--</w:t>
            </w:r>
          </w:p>
        </w:tc>
        <w:tc>
          <w:tcPr>
            <w:tcW w:w="13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375</w:t>
            </w:r>
          </w:p>
        </w:tc>
        <w:tc>
          <w:tcPr>
            <w:tcW w:w="5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Calibri" w:hAnsi="Calibri" w:eastAsia="Calibri" w:cs="" w:asciiTheme="minorHAnsi" w:cstheme="minorBidi" w:eastAsiaTheme="minorHAnsi" w:hAnsiTheme="minorHAnsi"/>
              </w:rPr>
            </w:pPr>
            <w:r>
              <w:rPr>
                <w:rFonts w:eastAsia="Calibri" w:cs="" w:cstheme="minorBidi" w:eastAsiaTheme="minorHAnsi"/>
              </w:rPr>
              <w:t>102 m iniciace, 273 m vytvořené potoční koryto</w:t>
            </w:r>
          </w:p>
        </w:tc>
      </w:tr>
    </w:tbl>
    <w:p>
      <w:pPr>
        <w:pStyle w:val="Normal"/>
        <w:rPr>
          <w:b/>
          <w:b/>
          <w:highlight w:val="yellow"/>
        </w:rPr>
      </w:pPr>
      <w:r>
        <w:rPr>
          <w:b/>
          <w:highlight w:val="yellow"/>
        </w:rPr>
      </w:r>
    </w:p>
    <w:tbl>
      <w:tblPr>
        <w:tblW w:w="9071" w:type="dxa"/>
        <w:jc w:val="left"/>
        <w:tblInd w:w="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65" w:type="dxa"/>
          <w:bottom w:w="0" w:type="dxa"/>
          <w:right w:w="70" w:type="dxa"/>
        </w:tblCellMar>
        <w:tblLook w:firstRow="1" w:noVBand="1" w:lastRow="0" w:firstColumn="1" w:lastColumn="0" w:noHBand="0" w:val="04a0"/>
      </w:tblPr>
      <w:tblGrid>
        <w:gridCol w:w="6402"/>
        <w:gridCol w:w="2668"/>
      </w:tblGrid>
      <w:tr>
        <w:trPr>
          <w:trHeight w:val="660" w:hRule="atLeast"/>
        </w:trPr>
        <w:tc>
          <w:tcPr>
            <w:tcW w:w="6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2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000000" w:fill="D9D9D9" w:val="clea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  <w:t xml:space="preserve">Realizováno </w:t>
            </w:r>
          </w:p>
          <w:p>
            <w:pPr>
              <w:pStyle w:val="Normal"/>
              <w:spacing w:lineRule="auto" w:line="240" w:before="0" w:after="0"/>
              <w:rPr>
                <w:rFonts w:eastAsia="Times New Roman" w:cs="Calibri" w:cstheme="minorHAnsi"/>
                <w:b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="Calibri" w:cstheme="minorHAnsi"/>
                <w:b/>
                <w:bCs/>
                <w:color w:val="000000"/>
                <w:lang w:eastAsia="cs-CZ"/>
              </w:rPr>
            </w:r>
          </w:p>
        </w:tc>
      </w:tr>
      <w:tr>
        <w:trPr>
          <w:trHeight w:val="324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color w:val="000000"/>
                <w:lang w:eastAsia="cs-CZ"/>
              </w:rPr>
            </w:pPr>
            <w:r>
              <w:rPr>
                <w:rFonts w:eastAsia="Times New Roman" w:cs="Calibri"/>
                <w:color w:val="000000"/>
                <w:lang w:eastAsia="cs-CZ"/>
              </w:rPr>
              <w:t>2 516,33</w:t>
            </w:r>
          </w:p>
        </w:tc>
      </w:tr>
      <w:tr>
        <w:trPr>
          <w:trHeight w:val="636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přehrazení typ A (počet hrází)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2</w:t>
            </w:r>
          </w:p>
        </w:tc>
      </w:tr>
      <w:tr>
        <w:trPr>
          <w:trHeight w:val="636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100</w:t>
            </w:r>
          </w:p>
        </w:tc>
      </w:tr>
      <w:tr>
        <w:trPr>
          <w:trHeight w:val="636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přehrazení typ C (počet hrází)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cs="Calibri" w:cstheme="minorHAnsi"/>
              </w:rPr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4</w:t>
            </w:r>
          </w:p>
        </w:tc>
      </w:tr>
      <w:tr>
        <w:trPr>
          <w:trHeight w:val="324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  <w:t>Vytvoření nového koryta (délka v m)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color w:val="000000"/>
                <w:lang w:eastAsia="cs-CZ"/>
              </w:rPr>
            </w:pPr>
            <w:r>
              <w:rPr>
                <w:rFonts w:eastAsia="Times New Roman" w:cs="Calibri"/>
                <w:color w:val="000000"/>
                <w:lang w:eastAsia="cs-CZ"/>
              </w:rPr>
              <w:t>788</w:t>
            </w:r>
          </w:p>
        </w:tc>
      </w:tr>
      <w:tr>
        <w:trPr>
          <w:trHeight w:val="324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Times New Roman" w:cs="Calibri" w:cstheme="minorHAnsi"/>
                <w:color w:val="000000"/>
                <w:lang w:eastAsia="cs-CZ"/>
              </w:rPr>
              <w:t>Iniciace vzniku potočního koryta (délka v m)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color w:val="000000"/>
                <w:lang w:eastAsia="cs-CZ"/>
              </w:rPr>
            </w:pPr>
            <w:r>
              <w:rPr>
                <w:rFonts w:eastAsia="Times New Roman" w:cs="Calibri"/>
                <w:color w:val="000000"/>
                <w:lang w:eastAsia="cs-CZ"/>
              </w:rPr>
              <w:t>626</w:t>
            </w:r>
          </w:p>
        </w:tc>
      </w:tr>
      <w:tr>
        <w:trPr>
          <w:trHeight w:val="324" w:hRule="atLeast"/>
        </w:trPr>
        <w:tc>
          <w:tcPr>
            <w:tcW w:w="6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cs="Calibri" w:cstheme="minorHAnsi"/>
              </w:rPr>
            </w:pPr>
            <w:r>
              <w:rPr>
                <w:rFonts w:cs="Calibri" w:cstheme="minorHAnsi"/>
              </w:rPr>
              <w:t>Rozvlnění stávajícího koryta</w:t>
            </w:r>
          </w:p>
        </w:tc>
        <w:tc>
          <w:tcPr>
            <w:tcW w:w="26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Calibri" w:cstheme="minorHAnsi"/>
              </w:rPr>
              <w:t>10 x (nátrž-berma) v délce 140 m</w:t>
            </w:r>
          </w:p>
        </w:tc>
      </w:tr>
    </w:tbl>
    <w:p>
      <w:pPr>
        <w:pStyle w:val="Normal"/>
        <w:jc w:val="both"/>
        <w:rPr>
          <w:b/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jc w:val="both"/>
        <w:rPr>
          <w:b/>
          <w:b/>
        </w:rPr>
      </w:pPr>
      <w:r>
        <w:rPr>
          <w:rFonts w:eastAsia="Calibri" w:cs="" w:cstheme="minorBidi" w:eastAsiaTheme="minorHAnsi"/>
          <w:b/>
        </w:rPr>
        <w:t>Závěr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Při revitalizaci lokality Malý Bor bylo zablokováno 2516 m odvodňovacích kanálů a bylo v nich instalováno 102 hrází. Velká část z kanálů byla vyplněná zeminou, dřevem a dalším dostupným materiálem. Spontánně vznikající tůně v zablokovaných kanálech byly ponechány a zarůstají vegetací.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Byla vytvořena tři koryta potoků a to v podobě přírodě blízké. Zároveň bylo vytvořeno několik malých odtoků, iniciačních fází koryt vodních toků a odlehčení tak, aby se voda nesoustředila v blokovaných kanálech, ale odtékala v ploše, obnovených potočištích nebo nových korytech.</w:t>
      </w:r>
    </w:p>
    <w:p>
      <w:pPr>
        <w:pStyle w:val="Normal"/>
        <w:jc w:val="both"/>
        <w:rPr/>
      </w:pPr>
      <w:r>
        <w:rPr>
          <w:rFonts w:eastAsia="Calibri" w:cs="" w:cstheme="minorBidi" w:eastAsiaTheme="minorHAnsi"/>
        </w:rPr>
        <w:t>Hlavním rozdílem oproti schválené PD je vytvoření koryta MB 5, nicméně nedošlo ke rozšíření záboru stavby ani ovlivnění cíle revitalizace.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Stavba byla realizována v  červenci-říjnu 2020., Pohyb techniky byl omezen jen na vymezené trasy a linie odvodnění.  Dotčené pozemky byly po ukončení stavby uvedeny do původního stavu. Po dobu stavby nedošlo k havárii nebo úniku pohonných hmot a mazadel. </w:t>
      </w:r>
    </w:p>
    <w:p>
      <w:pPr>
        <w:pStyle w:val="Normal"/>
        <w:jc w:val="both"/>
        <w:rPr>
          <w:rFonts w:ascii="Calibri" w:hAnsi="Calibri" w:eastAsia="Calibri" w:cs="" w:asciiTheme="minorHAnsi" w:cstheme="minorBidi" w:eastAsiaTheme="minorHAnsi" w:hAnsiTheme="minorHAnsi"/>
        </w:rPr>
      </w:pPr>
      <w:r>
        <w:rPr>
          <w:rFonts w:eastAsia="Calibri" w:cs="" w:cstheme="minorBidi" w:eastAsiaTheme="minorHAnsi"/>
        </w:rPr>
        <w:t>Hlavní kolize hrozila s několika jedinci lýkovce jedovatého v těsné blízkosti blokovaného kanálu. Z toho důvodu byly rostliny označeny a během stavby nedošlo k jejich poškození. Revitalizace lokality celkově přispěla ke zlepšení stavu přírodních biotopů a podpoře biodiversity.</w:t>
      </w:r>
    </w:p>
    <w:p>
      <w:pPr>
        <w:pStyle w:val="Normal"/>
        <w:jc w:val="both"/>
        <w:rPr>
          <w:b/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jc w:val="both"/>
        <w:rPr>
          <w:b/>
          <w:b/>
          <w:highlight w:val="yellow"/>
        </w:rPr>
      </w:pPr>
      <w:r>
        <w:rPr>
          <w:b/>
          <w:highlight w:val="yellow"/>
        </w:rPr>
      </w:r>
      <w:bookmarkStart w:id="2" w:name="_GoBack"/>
      <w:bookmarkStart w:id="3" w:name="_GoBack"/>
      <w:bookmarkEnd w:id="3"/>
    </w:p>
    <w:p>
      <w:pPr>
        <w:pStyle w:val="Normal"/>
        <w:spacing w:before="0" w:after="200"/>
        <w:rPr/>
      </w:pPr>
      <w:r>
        <w:rPr/>
      </w:r>
    </w:p>
    <w:sectPr>
      <w:headerReference w:type="default" r:id="rId6"/>
      <w:footerReference w:type="default" r:id="rId7"/>
      <w:type w:val="nextPage"/>
      <w:pgSz w:w="11906" w:h="16838"/>
      <w:pgMar w:left="1417" w:right="1417" w:header="708" w:top="1417" w:footer="708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Calibri">
    <w:charset w:val="01"/>
    <w:family w:val="swiss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Page Numbers (Bottom of Page)"/>
        <w:docPartUnique w:val="true"/>
      </w:docPartObj>
      <w:id w:val="1667155956"/>
    </w:sdtPr>
    <w:sdtContent>
      <w:p>
        <w:pPr>
          <w:pStyle w:val="Zpat"/>
          <w:jc w:val="right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2</w:t>
        </w:r>
        <w:r>
          <w:rPr/>
          <w:fldChar w:fldCharType="end"/>
        </w:r>
      </w:p>
    </w:sdtContent>
  </w:sdt>
  <w:p>
    <w:pPr>
      <w:pStyle w:val="Zpat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Page Numbers (Bottom of Page)"/>
        <w:docPartUnique w:val="true"/>
      </w:docPartObj>
      <w:id w:val="2041682970"/>
    </w:sdtPr>
    <w:sdtContent>
      <w:p>
        <w:pPr>
          <w:pStyle w:val="Zpat"/>
          <w:jc w:val="right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7</w:t>
        </w:r>
        <w:r>
          <w:rPr/>
          <w:fldChar w:fldCharType="end"/>
        </w:r>
      </w:p>
    </w:sdtContent>
  </w:sdt>
  <w:p>
    <w:pPr>
      <w:pStyle w:val="Zpat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hlav"/>
      <w:jc w:val="center"/>
      <w:rPr/>
    </w:pPr>
    <w:r>
      <w:drawing>
        <wp:anchor behindDoc="1" distT="0" distB="0" distL="114300" distR="120650" simplePos="0" locked="0" layoutInCell="1" allowOverlap="1" relativeHeight="7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0" b="0"/>
          <wp:wrapNone/>
          <wp:docPr id="2" name="Obrázek 22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21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  <w:drawing>
        <wp:anchor behindDoc="1" distT="0" distB="0" distL="114300" distR="114300" simplePos="0" locked="0" layoutInCell="1" allowOverlap="1" relativeHeight="13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3" name="Obrázek 222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222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 w:ascii="Arial" w:hAnsi="Arial"/>
        <w:sz w:val="20"/>
        <w:szCs w:val="20"/>
      </w:rPr>
      <w:t>L</w:t>
    </w:r>
    <w:r>
      <w:rPr>
        <w:rFonts w:cs="Arial" w:ascii="Arial" w:hAnsi="Arial"/>
        <w:sz w:val="20"/>
        <w:szCs w:val="20"/>
      </w:rPr>
      <w:t xml:space="preserve">IFE17 NAT/CZ/000452 LIFE for MIRES </w:t>
    </w:r>
  </w:p>
  <w:p>
    <w:pPr>
      <w:pStyle w:val="Zhlav"/>
      <w:rPr/>
    </w:pPr>
    <w:r>
      <w:rPr/>
    </w:r>
  </w:p>
  <w:p>
    <w:pPr>
      <w:pStyle w:val="Zhlav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hlav"/>
      <w:jc w:val="center"/>
      <w:rPr/>
    </w:pPr>
    <w:r>
      <w:drawing>
        <wp:anchor behindDoc="1" distT="0" distB="0" distL="114300" distR="120650" simplePos="0" locked="0" layoutInCell="1" allowOverlap="1" relativeHeight="14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0" b="0"/>
          <wp:wrapNone/>
          <wp:docPr id="4" name="Obrázek 3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3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  <w:drawing>
        <wp:anchor behindDoc="1" distT="0" distB="0" distL="114300" distR="114300" simplePos="0" locked="0" layoutInCell="1" allowOverlap="1" relativeHeight="15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5" name="Obrázek 2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2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 w:ascii="Arial" w:hAnsi="Arial"/>
        <w:sz w:val="20"/>
        <w:szCs w:val="20"/>
      </w:rPr>
      <w:t>L</w:t>
    </w:r>
    <w:r>
      <w:rPr>
        <w:rFonts w:cs="Arial" w:ascii="Arial" w:hAnsi="Arial"/>
        <w:sz w:val="20"/>
        <w:szCs w:val="20"/>
      </w:rPr>
      <w:t xml:space="preserve">IFE17 NAT/CZ/000452 LIFE for MIRES </w:t>
    </w:r>
  </w:p>
  <w:p>
    <w:pPr>
      <w:pStyle w:val="Zhlav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Zhlav"/>
      <w:jc w:val="center"/>
      <w:rPr/>
    </w:pPr>
    <w:r>
      <w:drawing>
        <wp:anchor behindDoc="1" distT="0" distB="0" distL="114300" distR="120650" simplePos="0" locked="0" layoutInCell="1" allowOverlap="1" relativeHeight="6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0" b="0"/>
          <wp:wrapNone/>
          <wp:docPr id="6" name="Obrázek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1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  <w:drawing>
        <wp:anchor behindDoc="1" distT="0" distB="0" distL="114300" distR="114300" simplePos="0" locked="0" layoutInCell="1" allowOverlap="1" relativeHeight="12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7" name="Obrázek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ázek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 w:ascii="Arial" w:hAnsi="Arial"/>
        <w:sz w:val="20"/>
        <w:szCs w:val="20"/>
      </w:rPr>
      <w:t>L</w:t>
    </w:r>
    <w:r>
      <w:rPr>
        <w:rFonts w:cs="Arial" w:ascii="Arial" w:hAnsi="Arial"/>
        <w:sz w:val="20"/>
        <w:szCs w:val="20"/>
      </w:rPr>
      <w:t xml:space="preserve">IFE17 NAT/CZ/000452 LIFE for MIRES </w:t>
    </w:r>
  </w:p>
  <w:p>
    <w:pPr>
      <w:pStyle w:val="Zhlav"/>
      <w:rPr/>
    </w:pPr>
    <w:r>
      <w:rPr/>
    </w:r>
  </w:p>
  <w:p>
    <w:pPr>
      <w:pStyle w:val="Zhlav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  <w:rFonts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cs-CZ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cs-CZ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cs-CZ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OdstavecseseznamemChar" w:customStyle="1">
    <w:name w:val="Odstavec se seznamem Char"/>
    <w:link w:val="Odstavecseseznamem"/>
    <w:uiPriority w:val="34"/>
    <w:qFormat/>
    <w:rsid w:val="00b93377"/>
    <w:rPr>
      <w:rFonts w:ascii="Calibri" w:hAnsi="Calibri" w:eastAsia="Times New Roman" w:cs="Times New Roman"/>
      <w:szCs w:val="20"/>
      <w:lang w:eastAsia="cs-CZ"/>
    </w:rPr>
  </w:style>
  <w:style w:type="character" w:styleId="ZhlavChar" w:customStyle="1">
    <w:name w:val="Záhlaví Char"/>
    <w:basedOn w:val="DefaultParagraphFont"/>
    <w:link w:val="Zhlav"/>
    <w:uiPriority w:val="99"/>
    <w:qFormat/>
    <w:rsid w:val="003b7474"/>
    <w:rPr/>
  </w:style>
  <w:style w:type="character" w:styleId="ZpatChar" w:customStyle="1">
    <w:name w:val="Zápatí Char"/>
    <w:basedOn w:val="DefaultParagraphFont"/>
    <w:link w:val="Zpat"/>
    <w:uiPriority w:val="99"/>
    <w:qFormat/>
    <w:rsid w:val="003b7474"/>
    <w:rPr/>
  </w:style>
  <w:style w:type="character" w:styleId="ListLabel1">
    <w:name w:val="ListLabel 1"/>
    <w:qFormat/>
    <w:rPr>
      <w:rFonts w:eastAsia="Calibri" w:cs="Calibri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alibri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Symbol"/>
    </w:rPr>
  </w:style>
  <w:style w:type="character" w:styleId="ListLabel12">
    <w:name w:val="ListLabel 12"/>
    <w:qFormat/>
    <w:rPr>
      <w:rFonts w:cs="Courier New"/>
    </w:rPr>
  </w:style>
  <w:style w:type="character" w:styleId="ListLabel13">
    <w:name w:val="ListLabel 13"/>
    <w:qFormat/>
    <w:rPr>
      <w:rFonts w:cs="Wingdings"/>
    </w:rPr>
  </w:style>
  <w:style w:type="character" w:styleId="ListLabel14">
    <w:name w:val="ListLabel 14"/>
    <w:qFormat/>
    <w:rPr>
      <w:rFonts w:cs="Calibri"/>
    </w:rPr>
  </w:style>
  <w:style w:type="character" w:styleId="ListLabel15">
    <w:name w:val="ListLabel 15"/>
    <w:qFormat/>
    <w:rPr>
      <w:rFonts w:cs="Courier New"/>
    </w:rPr>
  </w:style>
  <w:style w:type="character" w:styleId="ListLabel16">
    <w:name w:val="ListLabel 16"/>
    <w:qFormat/>
    <w:rPr>
      <w:rFonts w:cs="Wingdings"/>
    </w:rPr>
  </w:style>
  <w:style w:type="character" w:styleId="ListLabel17">
    <w:name w:val="ListLabel 17"/>
    <w:qFormat/>
    <w:rPr>
      <w:rFonts w:cs="Symbol"/>
    </w:rPr>
  </w:style>
  <w:style w:type="character" w:styleId="ListLabel18">
    <w:name w:val="ListLabel 18"/>
    <w:qFormat/>
    <w:rPr>
      <w:rFonts w:cs="Courier New"/>
    </w:rPr>
  </w:style>
  <w:style w:type="character" w:styleId="ListLabel19">
    <w:name w:val="ListLabel 19"/>
    <w:qFormat/>
    <w:rPr>
      <w:rFonts w:cs="Wingdings"/>
    </w:rPr>
  </w:style>
  <w:style w:type="character" w:styleId="ListLabel20">
    <w:name w:val="ListLabel 20"/>
    <w:qFormat/>
    <w:rPr>
      <w:rFonts w:cs="Symbol"/>
    </w:rPr>
  </w:style>
  <w:style w:type="character" w:styleId="ListLabel21">
    <w:name w:val="ListLabel 21"/>
    <w:qFormat/>
    <w:rPr>
      <w:rFonts w:cs="Courier New"/>
    </w:rPr>
  </w:style>
  <w:style w:type="character" w:styleId="ListLabel22">
    <w:name w:val="ListLabel 22"/>
    <w:qFormat/>
    <w:rPr>
      <w:rFonts w:cs="Wingdings"/>
    </w:rPr>
  </w:style>
  <w:style w:type="character" w:styleId="ListLabel23">
    <w:name w:val="ListLabel 23"/>
    <w:qFormat/>
    <w:rPr>
      <w:rFonts w:cs="Calibri"/>
    </w:rPr>
  </w:style>
  <w:style w:type="character" w:styleId="ListLabel24">
    <w:name w:val="ListLabel 24"/>
    <w:qFormat/>
    <w:rPr>
      <w:rFonts w:cs="Courier New"/>
    </w:rPr>
  </w:style>
  <w:style w:type="character" w:styleId="ListLabel25">
    <w:name w:val="ListLabel 25"/>
    <w:qFormat/>
    <w:rPr>
      <w:rFonts w:cs="Wingdings"/>
    </w:rPr>
  </w:style>
  <w:style w:type="character" w:styleId="ListLabel26">
    <w:name w:val="ListLabel 26"/>
    <w:qFormat/>
    <w:rPr>
      <w:rFonts w:cs="Symbol"/>
    </w:rPr>
  </w:style>
  <w:style w:type="character" w:styleId="ListLabel27">
    <w:name w:val="ListLabel 27"/>
    <w:qFormat/>
    <w:rPr>
      <w:rFonts w:cs="Courier New"/>
    </w:rPr>
  </w:style>
  <w:style w:type="character" w:styleId="ListLabel28">
    <w:name w:val="ListLabel 28"/>
    <w:qFormat/>
    <w:rPr>
      <w:rFonts w:cs="Wingdings"/>
    </w:rPr>
  </w:style>
  <w:style w:type="character" w:styleId="ListLabel29">
    <w:name w:val="ListLabel 29"/>
    <w:qFormat/>
    <w:rPr>
      <w:rFonts w:cs="Symbol"/>
    </w:rPr>
  </w:style>
  <w:style w:type="character" w:styleId="ListLabel30">
    <w:name w:val="ListLabel 30"/>
    <w:qFormat/>
    <w:rPr>
      <w:rFonts w:cs="Courier New"/>
    </w:rPr>
  </w:style>
  <w:style w:type="character" w:styleId="ListLabel31">
    <w:name w:val="ListLabel 31"/>
    <w:qFormat/>
    <w:rPr>
      <w:rFonts w:cs="Wingdings"/>
    </w:rPr>
  </w:style>
  <w:style w:type="character" w:styleId="ListLabel32">
    <w:name w:val="ListLabel 32"/>
    <w:qFormat/>
    <w:rPr>
      <w:rFonts w:cs="Calibri"/>
    </w:rPr>
  </w:style>
  <w:style w:type="character" w:styleId="ListLabel33">
    <w:name w:val="ListLabel 33"/>
    <w:qFormat/>
    <w:rPr>
      <w:rFonts w:cs="Courier New"/>
    </w:rPr>
  </w:style>
  <w:style w:type="character" w:styleId="ListLabel34">
    <w:name w:val="ListLabel 34"/>
    <w:qFormat/>
    <w:rPr>
      <w:rFonts w:cs="Wingdings"/>
    </w:rPr>
  </w:style>
  <w:style w:type="character" w:styleId="ListLabel35">
    <w:name w:val="ListLabel 35"/>
    <w:qFormat/>
    <w:rPr>
      <w:rFonts w:cs="Symbol"/>
    </w:rPr>
  </w:style>
  <w:style w:type="character" w:styleId="ListLabel36">
    <w:name w:val="ListLabel 36"/>
    <w:qFormat/>
    <w:rPr>
      <w:rFonts w:cs="Courier New"/>
    </w:rPr>
  </w:style>
  <w:style w:type="character" w:styleId="ListLabel37">
    <w:name w:val="ListLabel 37"/>
    <w:qFormat/>
    <w:rPr>
      <w:rFonts w:cs="Wingdings"/>
    </w:rPr>
  </w:style>
  <w:style w:type="character" w:styleId="ListLabel38">
    <w:name w:val="ListLabel 38"/>
    <w:qFormat/>
    <w:rPr>
      <w:rFonts w:cs="Symbol"/>
    </w:rPr>
  </w:style>
  <w:style w:type="character" w:styleId="ListLabel39">
    <w:name w:val="ListLabel 39"/>
    <w:qFormat/>
    <w:rPr>
      <w:rFonts w:cs="Courier New"/>
    </w:rPr>
  </w:style>
  <w:style w:type="character" w:styleId="ListLabel40">
    <w:name w:val="ListLabel 40"/>
    <w:qFormat/>
    <w:rPr>
      <w:rFonts w:cs="Wingdings"/>
    </w:rPr>
  </w:style>
  <w:style w:type="character" w:styleId="ListLabel41">
    <w:name w:val="ListLabel 41"/>
    <w:qFormat/>
    <w:rPr>
      <w:rFonts w:cs="Calibri"/>
    </w:rPr>
  </w:style>
  <w:style w:type="character" w:styleId="ListLabel42">
    <w:name w:val="ListLabel 42"/>
    <w:qFormat/>
    <w:rPr>
      <w:rFonts w:cs="Courier New"/>
    </w:rPr>
  </w:style>
  <w:style w:type="character" w:styleId="ListLabel43">
    <w:name w:val="ListLabel 43"/>
    <w:qFormat/>
    <w:rPr>
      <w:rFonts w:cs="Wingdings"/>
    </w:rPr>
  </w:style>
  <w:style w:type="character" w:styleId="ListLabel44">
    <w:name w:val="ListLabel 44"/>
    <w:qFormat/>
    <w:rPr>
      <w:rFonts w:cs="Symbol"/>
    </w:rPr>
  </w:style>
  <w:style w:type="character" w:styleId="ListLabel45">
    <w:name w:val="ListLabel 45"/>
    <w:qFormat/>
    <w:rPr>
      <w:rFonts w:cs="Courier New"/>
    </w:rPr>
  </w:style>
  <w:style w:type="character" w:styleId="ListLabel46">
    <w:name w:val="ListLabel 46"/>
    <w:qFormat/>
    <w:rPr>
      <w:rFonts w:cs="Wingdings"/>
    </w:rPr>
  </w:style>
  <w:style w:type="character" w:styleId="ListLabel47">
    <w:name w:val="ListLabel 47"/>
    <w:qFormat/>
    <w:rPr>
      <w:rFonts w:cs="Symbol"/>
    </w:rPr>
  </w:style>
  <w:style w:type="character" w:styleId="ListLabel48">
    <w:name w:val="ListLabel 48"/>
    <w:qFormat/>
    <w:rPr>
      <w:rFonts w:cs="Courier New"/>
    </w:rPr>
  </w:style>
  <w:style w:type="character" w:styleId="ListLabel49">
    <w:name w:val="ListLabel 49"/>
    <w:qFormat/>
    <w:rPr>
      <w:rFonts w:cs="Wingdings"/>
    </w:rPr>
  </w:style>
  <w:style w:type="paragraph" w:styleId="Nadpis">
    <w:name w:val="Nadpis"/>
    <w:basedOn w:val="Normal"/>
    <w:next w:val="Tlotextu"/>
    <w:qFormat/>
    <w:pPr>
      <w:keepNext w:val="true"/>
      <w:spacing w:before="240" w:after="120"/>
    </w:pPr>
    <w:rPr>
      <w:rFonts w:ascii="Liberation Sans" w:hAnsi="Liberation Sans" w:eastAsia="Microsoft YaHei" w:cs="Arial Unicode MS"/>
      <w:sz w:val="28"/>
      <w:szCs w:val="28"/>
    </w:rPr>
  </w:style>
  <w:style w:type="paragraph" w:styleId="Tlotextu">
    <w:name w:val="Body Text"/>
    <w:basedOn w:val="Normal"/>
    <w:pPr>
      <w:spacing w:lineRule="auto" w:line="276" w:before="0" w:after="140"/>
    </w:pPr>
    <w:rPr/>
  </w:style>
  <w:style w:type="paragraph" w:styleId="Seznam">
    <w:name w:val="List"/>
    <w:basedOn w:val="Tlotextu"/>
    <w:pPr/>
    <w:rPr>
      <w:rFonts w:cs="Arial Unicode MS"/>
    </w:rPr>
  </w:style>
  <w:style w:type="paragraph" w:styleId="Popisek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Rejstk">
    <w:name w:val="Rejstřík"/>
    <w:basedOn w:val="Normal"/>
    <w:qFormat/>
    <w:pPr>
      <w:suppressLineNumbers/>
    </w:pPr>
    <w:rPr>
      <w:rFonts w:cs="Arial Unicode MS"/>
    </w:rPr>
  </w:style>
  <w:style w:type="paragraph" w:styleId="ListParagraph">
    <w:name w:val="List Paragraph"/>
    <w:basedOn w:val="Normal"/>
    <w:link w:val="OdstavecseseznamemChar"/>
    <w:uiPriority w:val="34"/>
    <w:qFormat/>
    <w:rsid w:val="00b93377"/>
    <w:pPr>
      <w:spacing w:lineRule="auto" w:line="240" w:before="0" w:after="0"/>
      <w:ind w:left="720" w:hanging="0"/>
      <w:contextualSpacing/>
      <w:jc w:val="both"/>
    </w:pPr>
    <w:rPr>
      <w:rFonts w:ascii="Calibri" w:hAnsi="Calibri" w:eastAsia="Times New Roman" w:cs="Times New Roman"/>
      <w:szCs w:val="20"/>
      <w:lang w:eastAsia="cs-CZ"/>
    </w:rPr>
  </w:style>
  <w:style w:type="paragraph" w:styleId="Zhlav">
    <w:name w:val="Header"/>
    <w:basedOn w:val="Normal"/>
    <w:link w:val="ZhlavChar"/>
    <w:uiPriority w:val="99"/>
    <w:unhideWhenUsed/>
    <w:rsid w:val="003b7474"/>
    <w:pPr>
      <w:tabs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Zpat">
    <w:name w:val="Footer"/>
    <w:basedOn w:val="Normal"/>
    <w:link w:val="ZpatChar"/>
    <w:uiPriority w:val="99"/>
    <w:unhideWhenUsed/>
    <w:rsid w:val="003b7474"/>
    <w:pPr>
      <w:tabs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Obsahtabulky">
    <w:name w:val="Obsah tabulky"/>
    <w:basedOn w:val="Normal"/>
    <w:qFormat/>
    <w:pPr>
      <w:suppressLineNumbers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footer" Target="footer1.xml"/><Relationship Id="rId6" Type="http://schemas.openxmlformats.org/officeDocument/2006/relationships/header" Target="header3.xml"/><Relationship Id="rId7" Type="http://schemas.openxmlformats.org/officeDocument/2006/relationships/footer" Target="footer2.xml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2.tif"/><Relationship Id="rId2" Type="http://schemas.openxmlformats.org/officeDocument/2006/relationships/image" Target="media/image3.tif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4.tif"/><Relationship Id="rId2" Type="http://schemas.openxmlformats.org/officeDocument/2006/relationships/image" Target="media/image5.tif"/>
</Relationships>
</file>

<file path=word/_rels/header3.xml.rels><?xml version="1.0" encoding="UTF-8"?>
<Relationships xmlns="http://schemas.openxmlformats.org/package/2006/relationships"><Relationship Id="rId1" Type="http://schemas.openxmlformats.org/officeDocument/2006/relationships/image" Target="media/image6.tif"/><Relationship Id="rId2" Type="http://schemas.openxmlformats.org/officeDocument/2006/relationships/image" Target="media/image7.tif"/>
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1267</TotalTime>
  <Application>LibreOffice/6.1.0.3$Windows_X86_64 LibreOffice_project/efb621ed25068d70781dc026f7e9c5187a4decd1</Application>
  <Pages>7</Pages>
  <Words>1482</Words>
  <Characters>7970</Characters>
  <CharactersWithSpaces>9267</CharactersWithSpaces>
  <Paragraphs>227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2021-01-11T17:41:00Z</dcterms:created>
  <dc:creator>vaclavie</dc:creator>
  <dc:description/>
  <dc:language>cs-CZ</dc:language>
  <cp:lastModifiedBy/>
  <dcterms:modified xsi:type="dcterms:W3CDTF">2023-09-19T14:40:12Z</dcterms:modified>
  <cp:revision>25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